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1594" w14:textId="77777777" w:rsidR="00076454" w:rsidRPr="00076454" w:rsidRDefault="00076454" w:rsidP="00A76148">
      <w:pPr>
        <w:rPr>
          <w:rStyle w:val="TitleChar"/>
        </w:rPr>
      </w:pPr>
    </w:p>
    <w:p w14:paraId="04972FDC" w14:textId="01B9C3A0" w:rsidR="0081049C" w:rsidRDefault="00E65E80" w:rsidP="00DC780B">
      <w:pPr>
        <w:jc w:val="center"/>
        <w:rPr>
          <w:b/>
          <w:bCs/>
          <w:color w:val="C45911" w:themeColor="accent2" w:themeShade="BF"/>
          <w:sz w:val="28"/>
          <w:szCs w:val="28"/>
        </w:rPr>
      </w:pPr>
      <w:r w:rsidRPr="00E65E80">
        <w:rPr>
          <w:b/>
          <w:bCs/>
          <w:color w:val="C45911" w:themeColor="accent2" w:themeShade="BF"/>
          <w:sz w:val="28"/>
          <w:szCs w:val="28"/>
        </w:rPr>
        <w:t xml:space="preserve">AI-Driven Supply Chain Integration and Environmental Sustainability in the RMG Sector: Exploring the Mediating Roles of Technological Readiness and Supply Chain Agility  </w:t>
      </w:r>
    </w:p>
    <w:p w14:paraId="5AA2F802" w14:textId="77777777" w:rsidR="00E65E80" w:rsidRPr="00DC780B" w:rsidRDefault="00E65E80" w:rsidP="00DC780B">
      <w:pPr>
        <w:jc w:val="center"/>
        <w:rPr>
          <w:b/>
          <w:bCs/>
          <w:color w:val="C45911" w:themeColor="accent2" w:themeShade="BF"/>
          <w:sz w:val="28"/>
          <w:szCs w:val="28"/>
        </w:rPr>
      </w:pPr>
    </w:p>
    <w:p w14:paraId="78D22156" w14:textId="6D93BCA4" w:rsidR="0081049C" w:rsidRDefault="00E65E80" w:rsidP="0081049C">
      <w:pPr>
        <w:jc w:val="center"/>
        <w:rPr>
          <w:b/>
          <w:bCs/>
        </w:rPr>
      </w:pPr>
      <w:r w:rsidRPr="00E45A74">
        <w:rPr>
          <w:b/>
        </w:rPr>
        <w:t>Mohammad</w:t>
      </w:r>
      <w:r w:rsidRPr="00E65E80">
        <w:rPr>
          <w:b/>
          <w:bCs/>
        </w:rPr>
        <w:t xml:space="preserve"> Monir Hossain Patwary</w:t>
      </w:r>
      <w:r w:rsidRPr="00E65E80">
        <w:rPr>
          <w:b/>
          <w:bCs/>
          <w:vertAlign w:val="superscript"/>
        </w:rPr>
        <w:t>a</w:t>
      </w:r>
      <w:r w:rsidRPr="00E65E80">
        <w:rPr>
          <w:b/>
          <w:bCs/>
        </w:rPr>
        <w:t>, S. K. Md Anik Hassan Rabby</w:t>
      </w:r>
      <w:r w:rsidRPr="00E65E80">
        <w:rPr>
          <w:b/>
          <w:bCs/>
          <w:vertAlign w:val="superscript"/>
        </w:rPr>
        <w:t>b*</w:t>
      </w:r>
    </w:p>
    <w:p w14:paraId="6A5D670A" w14:textId="77777777" w:rsidR="00E65E80" w:rsidRPr="0081049C" w:rsidRDefault="00E65E80" w:rsidP="0081049C">
      <w:pPr>
        <w:jc w:val="center"/>
        <w:rPr>
          <w:b/>
          <w:bCs/>
        </w:rPr>
      </w:pPr>
    </w:p>
    <w:p w14:paraId="1E6B916A" w14:textId="61EA97BA" w:rsidR="00E65E80" w:rsidRDefault="00E65E80" w:rsidP="00E65E80">
      <w:pPr>
        <w:pStyle w:val="ListParagraph"/>
        <w:numPr>
          <w:ilvl w:val="0"/>
          <w:numId w:val="18"/>
        </w:numPr>
        <w:jc w:val="center"/>
      </w:pPr>
      <w:r>
        <w:t xml:space="preserve">Faculty of Business Studies, </w:t>
      </w:r>
      <w:r w:rsidR="007117FF" w:rsidRPr="007117FF">
        <w:t>Bangladesh University of Professionals</w:t>
      </w:r>
      <w:r w:rsidRPr="00E45A74">
        <w:t>, Dhaka</w:t>
      </w:r>
      <w:r w:rsidR="00895C54">
        <w:t xml:space="preserve">, </w:t>
      </w:r>
      <w:r w:rsidR="00895C54" w:rsidRPr="00895C54">
        <w:t>Bangladesh</w:t>
      </w:r>
    </w:p>
    <w:p w14:paraId="1FB6514C" w14:textId="480A1C2C" w:rsidR="00E65E80" w:rsidRDefault="00E65E80" w:rsidP="00E65E80">
      <w:pPr>
        <w:pStyle w:val="ListParagraph"/>
        <w:numPr>
          <w:ilvl w:val="0"/>
          <w:numId w:val="18"/>
        </w:numPr>
        <w:jc w:val="center"/>
      </w:pPr>
      <w:r>
        <w:t>Department of Business Administration in Management Studies,</w:t>
      </w:r>
    </w:p>
    <w:p w14:paraId="66A7D95C" w14:textId="32768910" w:rsidR="00DC780B" w:rsidRDefault="007117FF" w:rsidP="004D7A47">
      <w:pPr>
        <w:jc w:val="center"/>
      </w:pPr>
      <w:r w:rsidRPr="007117FF">
        <w:t>Bangladesh University of Professionals</w:t>
      </w:r>
      <w:r w:rsidR="00E65E80">
        <w:t>, Dhaka</w:t>
      </w:r>
      <w:r w:rsidR="00895C54">
        <w:t xml:space="preserve">, </w:t>
      </w:r>
      <w:r w:rsidR="00895C54" w:rsidRPr="00895C54">
        <w:t>Bangladesh</w:t>
      </w:r>
    </w:p>
    <w:p w14:paraId="49BDA9BB" w14:textId="56AA8471" w:rsidR="00DA3D61" w:rsidRPr="000148F5" w:rsidRDefault="009B6A63" w:rsidP="00DC780B">
      <w:pPr>
        <w:pStyle w:val="ListParagraph"/>
      </w:pPr>
      <w:r w:rsidRPr="000148F5">
        <w:fldChar w:fldCharType="begin"/>
      </w:r>
      <w:r w:rsidR="00E718FE" w:rsidRPr="000148F5">
        <w:instrText xml:space="preserve"> DOCPROPERTY  Affiliation  \* MERGEFORMAT </w:instrText>
      </w:r>
      <w:r w:rsidRPr="000148F5">
        <w:fldChar w:fldCharType="end"/>
      </w:r>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DA3D61" w:rsidRPr="000148F5" w14:paraId="5B4BDAE6" w14:textId="77777777" w:rsidTr="00FC0091">
        <w:trPr>
          <w:trHeight w:val="2589"/>
        </w:trPr>
        <w:tc>
          <w:tcPr>
            <w:tcW w:w="9805" w:type="dxa"/>
          </w:tcPr>
          <w:p w14:paraId="6B194398" w14:textId="1D3933EA" w:rsidR="0081049C" w:rsidRDefault="00DA3D61" w:rsidP="00D0088F">
            <w:r w:rsidRPr="000148F5">
              <w:rPr>
                <w:b/>
                <w:bCs/>
                <w:color w:val="C45911" w:themeColor="accent2" w:themeShade="BF"/>
              </w:rPr>
              <w:t>Abstract:</w:t>
            </w:r>
            <w:r w:rsidR="006E4D29" w:rsidRPr="000148F5">
              <w:rPr>
                <w:b/>
                <w:bCs/>
                <w:color w:val="C45911" w:themeColor="accent2" w:themeShade="BF"/>
              </w:rPr>
              <w:t xml:space="preserve"> </w:t>
            </w:r>
            <w:r w:rsidR="00E65E80" w:rsidRPr="00E65E80">
              <w:t xml:space="preserve">The study aims to explore the complex relationship between AI-SCI and ES in the RMG sector of Bangladesh. The study uses </w:t>
            </w:r>
            <w:r w:rsidR="00790B43">
              <w:t>quantitative</w:t>
            </w:r>
            <w:r w:rsidR="00E65E80" w:rsidRPr="00E65E80">
              <w:t xml:space="preserve"> </w:t>
            </w:r>
            <w:r w:rsidR="00E65E80">
              <w:t xml:space="preserve">research </w:t>
            </w:r>
            <w:r w:rsidR="0054742C">
              <w:t>methods</w:t>
            </w:r>
            <w:r w:rsidR="00E65E80" w:rsidRPr="00E65E80">
              <w:t xml:space="preserve"> and a cross-sectional survey. The sample size was sufficiently large, drawing upon the data of 389 managerial professionals employed in the RMG sector in Bangladesh. The study used PLS-SEM for complex model testing in management studies to ascertain the complex interrelationships among AI-SCI, TR, SCA, and ES. The findings demonstrate that there is a positive statistical association between AI-SCI and ES (β = 0.229, p &lt; 0.000), indicating the role AI technologies could play in promoting sustainable operations. The results show that technological readiness (</w:t>
            </w:r>
            <w:r w:rsidR="00E65E80" w:rsidRPr="00E65E80">
              <w:rPr>
                <w:rFonts w:cs="Book Antiqua"/>
              </w:rPr>
              <w:t>β</w:t>
            </w:r>
            <w:r w:rsidR="00E65E80" w:rsidRPr="00E65E80">
              <w:t xml:space="preserve"> = 0.793, p &lt; 0.000) and supply chain agility (</w:t>
            </w:r>
            <w:r w:rsidR="00E65E80" w:rsidRPr="00E65E80">
              <w:rPr>
                <w:rFonts w:cs="Book Antiqua"/>
              </w:rPr>
              <w:t>β</w:t>
            </w:r>
            <w:r w:rsidR="00E65E80" w:rsidRPr="00E65E80">
              <w:t xml:space="preserve"> = 0.813, p &lt; 0.000) are crucial mediators that significantly strengthen the effect of AI-SCI on sustainability performance. These results show that the effect of AI-SCI on promoting environmental sustainability is not direct </w:t>
            </w:r>
            <w:r w:rsidR="00790B43">
              <w:t xml:space="preserve">to </w:t>
            </w:r>
            <w:r w:rsidR="00E65E80" w:rsidRPr="00E65E80">
              <w:t xml:space="preserve">policymakers but mainly the intermediate role of superior technological capabilities and enhanced agility of supply chain integration. The study provides helpful implications for RMG companies and </w:t>
            </w:r>
            <w:r w:rsidR="00790B43">
              <w:t>policymakers</w:t>
            </w:r>
            <w:r w:rsidR="00E65E80" w:rsidRPr="00E65E80">
              <w:t>. This study adds to the literature by filling a knowledge gap on how AI implementation may galvanize sustainable RMG practices</w:t>
            </w:r>
            <w:r w:rsidR="00E65E80">
              <w:t>,</w:t>
            </w:r>
            <w:r w:rsidR="00E65E80" w:rsidRPr="00E65E80">
              <w:t xml:space="preserve"> especially in emerging countries. </w:t>
            </w:r>
          </w:p>
          <w:p w14:paraId="0D8FA8D0" w14:textId="69AD24F2" w:rsidR="00D61515" w:rsidRPr="00D61515" w:rsidRDefault="00D61515" w:rsidP="00790B43">
            <w:pPr>
              <w:ind w:right="-24"/>
              <w:rPr>
                <w:b/>
                <w:bCs/>
              </w:rPr>
            </w:pPr>
            <w:r w:rsidRPr="00D61515">
              <w:rPr>
                <w:b/>
                <w:bCs/>
              </w:rPr>
              <w:t>Keywords:</w:t>
            </w:r>
            <w:r>
              <w:rPr>
                <w:b/>
                <w:bCs/>
              </w:rPr>
              <w:t xml:space="preserve"> </w:t>
            </w:r>
            <w:r w:rsidR="00895C54" w:rsidRPr="00895C54">
              <w:t>AI-driven Supply Chain Integration, Environmental Sustainability, Technological Readiness, Supply Chain Agility, Ready-Made Garments Sector, PLS-SEM, Emerging Economies, Sustainable Practices</w:t>
            </w:r>
            <w:r w:rsidR="0081049C">
              <w:t>.</w:t>
            </w:r>
            <w:r w:rsidR="00DB1B71" w:rsidRPr="009F48C5">
              <w:rPr>
                <w:color w:val="F2F2F2" w:themeColor="background1" w:themeShade="F2"/>
              </w:rPr>
              <w:footnoteReference w:id="1"/>
            </w:r>
          </w:p>
        </w:tc>
      </w:tr>
    </w:tbl>
    <w:p w14:paraId="257F8599" w14:textId="77777777" w:rsidR="00790B43" w:rsidRPr="00790B43" w:rsidRDefault="00790B43" w:rsidP="00790B43">
      <w:pPr>
        <w:spacing w:after="160" w:line="259" w:lineRule="auto"/>
        <w:contextualSpacing/>
        <w:rPr>
          <w:rFonts w:eastAsia="Calibri" w:cs="Times New Roman"/>
          <w:color w:val="C45911" w:themeColor="accent2" w:themeShade="BF"/>
          <w:szCs w:val="20"/>
        </w:rPr>
      </w:pPr>
      <w:bookmarkStart w:id="0" w:name="_Hlk204505124"/>
    </w:p>
    <w:p w14:paraId="5B465AA1" w14:textId="338F8F77" w:rsidR="00790B43" w:rsidRPr="00790B43" w:rsidRDefault="00790B43" w:rsidP="00790B43">
      <w:pPr>
        <w:numPr>
          <w:ilvl w:val="0"/>
          <w:numId w:val="19"/>
        </w:numPr>
        <w:spacing w:after="160" w:line="259" w:lineRule="auto"/>
        <w:contextualSpacing/>
        <w:rPr>
          <w:rFonts w:eastAsia="Calibri" w:cs="Times New Roman"/>
          <w:color w:val="C45911" w:themeColor="accent2" w:themeShade="BF"/>
          <w:szCs w:val="20"/>
        </w:rPr>
      </w:pPr>
      <w:r w:rsidRPr="00790B43">
        <w:rPr>
          <w:rFonts w:eastAsia="Calibri" w:cs="Times New Roman"/>
          <w:b/>
          <w:bCs/>
          <w:color w:val="C45911" w:themeColor="accent2" w:themeShade="BF"/>
          <w:szCs w:val="20"/>
        </w:rPr>
        <w:t>Introduction</w:t>
      </w:r>
    </w:p>
    <w:p w14:paraId="13F6A1C8" w14:textId="77777777" w:rsidR="00424237" w:rsidRDefault="00790B43" w:rsidP="00790B43">
      <w:pPr>
        <w:spacing w:after="160" w:line="259" w:lineRule="auto"/>
        <w:contextualSpacing/>
        <w:rPr>
          <w:szCs w:val="20"/>
        </w:rPr>
      </w:pPr>
      <w:r w:rsidRPr="00120553">
        <w:rPr>
          <w:szCs w:val="20"/>
        </w:rPr>
        <w:t xml:space="preserve">The Ready-Made Garment (RMG) sector contributes as the backbone of the Bangladesh economy; it accounts for more than 80% of the country's export earnings and employs around 4 million workers </w:t>
      </w:r>
      <w:r w:rsidR="0054742C">
        <w:rPr>
          <w:szCs w:val="20"/>
        </w:rPr>
        <w:t>[1]</w:t>
      </w:r>
      <w:r w:rsidRPr="00120553">
        <w:rPr>
          <w:szCs w:val="20"/>
        </w:rPr>
        <w:t xml:space="preserve">. However, the </w:t>
      </w:r>
      <w:r w:rsidRPr="00790B43">
        <w:rPr>
          <w:szCs w:val="20"/>
        </w:rPr>
        <w:t>rapid development of industrialization in these sectors has led to substantial environmental problems, including excessive water consumption, chemical pollution, and carbon emissions, which pose a significant threat to</w:t>
      </w:r>
      <w:r w:rsidRPr="00120553">
        <w:rPr>
          <w:szCs w:val="20"/>
        </w:rPr>
        <w:t xml:space="preserve"> ecological sustainability </w:t>
      </w:r>
      <w:r w:rsidR="0054742C">
        <w:rPr>
          <w:szCs w:val="20"/>
        </w:rPr>
        <w:t>[2]</w:t>
      </w:r>
      <w:r w:rsidRPr="00120553">
        <w:rPr>
          <w:szCs w:val="20"/>
        </w:rPr>
        <w:t xml:space="preserve">. </w:t>
      </w:r>
    </w:p>
    <w:p w14:paraId="332DE5E6" w14:textId="77777777" w:rsidR="00424237" w:rsidRDefault="00424237" w:rsidP="00790B43">
      <w:pPr>
        <w:spacing w:after="160" w:line="259" w:lineRule="auto"/>
        <w:contextualSpacing/>
        <w:rPr>
          <w:szCs w:val="20"/>
        </w:rPr>
      </w:pPr>
    </w:p>
    <w:p w14:paraId="376F4BE0" w14:textId="77A940F5" w:rsidR="00790B43" w:rsidRPr="00120553" w:rsidRDefault="00790B43" w:rsidP="00790B43">
      <w:pPr>
        <w:spacing w:after="160" w:line="259" w:lineRule="auto"/>
        <w:contextualSpacing/>
        <w:rPr>
          <w:rFonts w:eastAsia="Calibri" w:cs="Times New Roman"/>
          <w:color w:val="C45911" w:themeColor="accent2" w:themeShade="BF"/>
          <w:szCs w:val="20"/>
        </w:rPr>
      </w:pPr>
      <w:r w:rsidRPr="00120553">
        <w:rPr>
          <w:szCs w:val="20"/>
        </w:rPr>
        <w:t xml:space="preserve">With growing pressures from </w:t>
      </w:r>
      <w:r w:rsidR="00085B5F" w:rsidRPr="00120553">
        <w:rPr>
          <w:szCs w:val="20"/>
        </w:rPr>
        <w:t>across</w:t>
      </w:r>
      <w:r w:rsidRPr="00120553">
        <w:rPr>
          <w:szCs w:val="20"/>
        </w:rPr>
        <w:t xml:space="preserve"> the world regarding eco-friendly </w:t>
      </w:r>
      <w:r w:rsidRPr="00790B43">
        <w:rPr>
          <w:szCs w:val="20"/>
        </w:rPr>
        <w:t xml:space="preserve">practices, the introduction of modern technologies, such as artificial intelligence in supply chain management, seems a strategic fillip to bring productivity in line with </w:t>
      </w:r>
      <w:r w:rsidRPr="00120553">
        <w:rPr>
          <w:szCs w:val="20"/>
        </w:rPr>
        <w:t xml:space="preserve">ecological pace </w:t>
      </w:r>
      <w:r w:rsidR="0054742C">
        <w:rPr>
          <w:szCs w:val="20"/>
        </w:rPr>
        <w:t>[3]</w:t>
      </w:r>
      <w:r w:rsidRPr="00120553">
        <w:rPr>
          <w:szCs w:val="20"/>
        </w:rPr>
        <w:t>.</w:t>
      </w:r>
    </w:p>
    <w:bookmarkEnd w:id="0"/>
    <w:p w14:paraId="43BEA246" w14:textId="1CF0CF2A" w:rsidR="00790B43"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AI-SCI's implementation complements predictive analysis, real-time </w:t>
      </w:r>
      <w:r>
        <w:rPr>
          <w:rFonts w:ascii="Book Antiqua" w:hAnsi="Book Antiqua"/>
          <w:sz w:val="20"/>
          <w:szCs w:val="20"/>
        </w:rPr>
        <w:t>information sharing</w:t>
      </w:r>
      <w:r w:rsidR="00B071D6">
        <w:rPr>
          <w:rFonts w:ascii="Book Antiqua" w:hAnsi="Book Antiqua"/>
          <w:sz w:val="20"/>
          <w:szCs w:val="20"/>
        </w:rPr>
        <w:t>,</w:t>
      </w:r>
      <w:r w:rsidRPr="00120553">
        <w:rPr>
          <w:rFonts w:ascii="Book Antiqua" w:hAnsi="Book Antiqua"/>
          <w:sz w:val="20"/>
          <w:szCs w:val="20"/>
        </w:rPr>
        <w:t xml:space="preserve"> as well as automation to achieve efficient resource use, reduced wastage, along increased operational visibility </w:t>
      </w:r>
      <w:r w:rsidR="0054742C">
        <w:rPr>
          <w:rFonts w:ascii="Book Antiqua" w:hAnsi="Book Antiqua"/>
          <w:sz w:val="20"/>
          <w:szCs w:val="20"/>
        </w:rPr>
        <w:t>[4]</w:t>
      </w:r>
      <w:r w:rsidRPr="00120553">
        <w:rPr>
          <w:rFonts w:ascii="Book Antiqua" w:hAnsi="Book Antiqua"/>
          <w:sz w:val="20"/>
          <w:szCs w:val="20"/>
        </w:rPr>
        <w:t xml:space="preserve">. To date, the literature has emphasized the potential impact of </w:t>
      </w:r>
      <w:r>
        <w:rPr>
          <w:rFonts w:ascii="Book Antiqua" w:hAnsi="Book Antiqua"/>
          <w:sz w:val="20"/>
          <w:szCs w:val="20"/>
        </w:rPr>
        <w:t>AI for</w:t>
      </w:r>
      <w:r w:rsidRPr="00120553">
        <w:rPr>
          <w:rFonts w:ascii="Book Antiqua" w:hAnsi="Book Antiqua"/>
          <w:sz w:val="20"/>
          <w:szCs w:val="20"/>
        </w:rPr>
        <w:t xml:space="preserve"> enhancing sustainability in the manufacturing sector</w:t>
      </w:r>
      <w:r>
        <w:rPr>
          <w:rFonts w:ascii="Book Antiqua" w:hAnsi="Book Antiqua"/>
          <w:sz w:val="20"/>
          <w:szCs w:val="20"/>
        </w:rPr>
        <w:t>,</w:t>
      </w:r>
      <w:r w:rsidRPr="00120553">
        <w:rPr>
          <w:rFonts w:ascii="Book Antiqua" w:hAnsi="Book Antiqua"/>
          <w:sz w:val="20"/>
          <w:szCs w:val="20"/>
        </w:rPr>
        <w:t xml:space="preserve"> but there is scarce empirical evidence of the role of AI-SCI toward improving environmental sustainability in emerging markets such as Bangladesh, where the adoption of technologies is influenced by infrastructural and institutional constraints </w:t>
      </w:r>
      <w:r w:rsidR="0054742C">
        <w:rPr>
          <w:rFonts w:ascii="Book Antiqua" w:hAnsi="Book Antiqua"/>
          <w:sz w:val="20"/>
          <w:szCs w:val="20"/>
        </w:rPr>
        <w:t>[5]</w:t>
      </w:r>
      <w:r w:rsidRPr="00120553">
        <w:rPr>
          <w:rFonts w:ascii="Book Antiqua" w:hAnsi="Book Antiqua"/>
          <w:sz w:val="20"/>
          <w:szCs w:val="20"/>
        </w:rPr>
        <w:t>. Also</w:t>
      </w:r>
      <w:r w:rsidR="00FC509E">
        <w:rPr>
          <w:rFonts w:ascii="Book Antiqua" w:hAnsi="Book Antiqua"/>
          <w:sz w:val="20"/>
          <w:szCs w:val="20"/>
        </w:rPr>
        <w:t>,</w:t>
      </w:r>
      <w:r w:rsidRPr="00120553">
        <w:rPr>
          <w:rFonts w:ascii="Book Antiqua" w:hAnsi="Book Antiqua"/>
          <w:sz w:val="20"/>
          <w:szCs w:val="20"/>
        </w:rPr>
        <w:t xml:space="preserve"> the mediating mechanisms by which AI-SCI </w:t>
      </w:r>
      <w:r w:rsidR="00FC509E">
        <w:rPr>
          <w:rFonts w:ascii="Book Antiqua" w:hAnsi="Book Antiqua"/>
          <w:sz w:val="20"/>
          <w:szCs w:val="20"/>
        </w:rPr>
        <w:t>leads to</w:t>
      </w:r>
      <w:r w:rsidRPr="00120553">
        <w:rPr>
          <w:rFonts w:ascii="Book Antiqua" w:hAnsi="Book Antiqua"/>
          <w:sz w:val="20"/>
          <w:szCs w:val="20"/>
        </w:rPr>
        <w:t xml:space="preserve"> sustainable practices are </w:t>
      </w:r>
      <w:r w:rsidRPr="00120553">
        <w:rPr>
          <w:rFonts w:ascii="Book Antiqua" w:hAnsi="Book Antiqua"/>
          <w:sz w:val="20"/>
          <w:szCs w:val="20"/>
        </w:rPr>
        <w:lastRenderedPageBreak/>
        <w:t xml:space="preserve">relatively neglected. Technology readiness – an organisation’s readiness to adapt </w:t>
      </w:r>
      <w:r w:rsidR="00FC509E">
        <w:rPr>
          <w:rFonts w:ascii="Book Antiqua" w:hAnsi="Book Antiqua"/>
          <w:sz w:val="20"/>
          <w:szCs w:val="20"/>
        </w:rPr>
        <w:t>and assimilate</w:t>
      </w:r>
      <w:r w:rsidRPr="00120553">
        <w:rPr>
          <w:rFonts w:ascii="Book Antiqua" w:hAnsi="Book Antiqua"/>
          <w:sz w:val="20"/>
          <w:szCs w:val="20"/>
        </w:rPr>
        <w:t xml:space="preserve"> new technology and supply chain agility, the ability to respond rapidly to market and operational disruptions</w:t>
      </w:r>
      <w:r w:rsidR="00B071D6">
        <w:rPr>
          <w:rFonts w:ascii="Book Antiqua" w:hAnsi="Book Antiqua"/>
          <w:sz w:val="20"/>
          <w:szCs w:val="20"/>
        </w:rPr>
        <w:t>,</w:t>
      </w:r>
      <w:r w:rsidRPr="00120553">
        <w:rPr>
          <w:rFonts w:ascii="Book Antiqua" w:hAnsi="Book Antiqua"/>
          <w:sz w:val="20"/>
          <w:szCs w:val="20"/>
        </w:rPr>
        <w:t xml:space="preserve"> are suggested as two important enablers in this relationship </w:t>
      </w:r>
      <w:r w:rsidR="0054742C">
        <w:rPr>
          <w:rFonts w:ascii="Book Antiqua" w:hAnsi="Book Antiqua"/>
          <w:sz w:val="20"/>
          <w:szCs w:val="20"/>
        </w:rPr>
        <w:t>[6]</w:t>
      </w:r>
      <w:r w:rsidRPr="00120553">
        <w:rPr>
          <w:rFonts w:ascii="Book Antiqua" w:hAnsi="Book Antiqua"/>
          <w:sz w:val="20"/>
          <w:szCs w:val="20"/>
        </w:rPr>
        <w:t>.</w:t>
      </w:r>
    </w:p>
    <w:p w14:paraId="6F3C894D" w14:textId="77777777" w:rsidR="00424237"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The research explores direct </w:t>
      </w:r>
      <w:r w:rsidR="007E4A99">
        <w:rPr>
          <w:rFonts w:ascii="Book Antiqua" w:hAnsi="Book Antiqua"/>
          <w:sz w:val="20"/>
          <w:szCs w:val="20"/>
        </w:rPr>
        <w:t>and mediating</w:t>
      </w:r>
      <w:r w:rsidRPr="00120553">
        <w:rPr>
          <w:rFonts w:ascii="Book Antiqua" w:hAnsi="Book Antiqua"/>
          <w:sz w:val="20"/>
          <w:szCs w:val="20"/>
        </w:rPr>
        <w:t xml:space="preserve"> mechanisms by which AI-SCI promotes environmental sustainability in the RMG of Bangladesh. Based on resource-based view (RBV) and dynamic capability theories, we argue that AI-SCI</w:t>
      </w:r>
      <w:r w:rsidRPr="00120553">
        <w:rPr>
          <w:rFonts w:ascii="Book Antiqua" w:hAnsi="Book Antiqua"/>
          <w:sz w:val="20"/>
          <w:szCs w:val="20"/>
        </w:rPr>
        <w:t> </w:t>
      </w:r>
      <w:r w:rsidRPr="00120553">
        <w:rPr>
          <w:rFonts w:ascii="Book Antiqua" w:hAnsi="Book Antiqua"/>
          <w:sz w:val="20"/>
          <w:szCs w:val="20"/>
        </w:rPr>
        <w:t xml:space="preserve">not only directly contributes to sustainability, but </w:t>
      </w:r>
      <w:r w:rsidR="00FC509E">
        <w:rPr>
          <w:rFonts w:ascii="Book Antiqua" w:hAnsi="Book Antiqua"/>
          <w:sz w:val="20"/>
          <w:szCs w:val="20"/>
        </w:rPr>
        <w:t xml:space="preserve">also </w:t>
      </w:r>
      <w:r w:rsidRPr="00120553">
        <w:rPr>
          <w:rFonts w:ascii="Book Antiqua" w:hAnsi="Book Antiqua"/>
          <w:sz w:val="20"/>
          <w:szCs w:val="20"/>
        </w:rPr>
        <w:t>indirectly by improving technological readiness and supply chain agility.</w:t>
      </w:r>
    </w:p>
    <w:p w14:paraId="03641F5D" w14:textId="006C407E" w:rsidR="00790B43"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 Namely, we propose that technological readiness mediates the AI-SCI-sustainability relationship, by endowing firms with the capabilities to adopt eco-efficient practices, and supply chain agility allows for fast </w:t>
      </w:r>
      <w:r w:rsidR="00FC509E">
        <w:rPr>
          <w:rFonts w:ascii="Book Antiqua" w:hAnsi="Book Antiqua"/>
          <w:sz w:val="20"/>
          <w:szCs w:val="20"/>
        </w:rPr>
        <w:t>re-adjustment to</w:t>
      </w:r>
      <w:r w:rsidRPr="00120553">
        <w:rPr>
          <w:rFonts w:ascii="Book Antiqua" w:hAnsi="Book Antiqua"/>
          <w:sz w:val="20"/>
          <w:szCs w:val="20"/>
        </w:rPr>
        <w:t xml:space="preserve"> sustainable practices in turbulent market environments. By </w:t>
      </w:r>
      <w:r w:rsidR="00FC509E" w:rsidRPr="00120553">
        <w:rPr>
          <w:rFonts w:ascii="Book Antiqua" w:hAnsi="Book Antiqua"/>
          <w:sz w:val="20"/>
          <w:szCs w:val="20"/>
        </w:rPr>
        <w:t>analysing</w:t>
      </w:r>
      <w:r w:rsidRPr="00120553">
        <w:rPr>
          <w:rFonts w:ascii="Book Antiqua" w:hAnsi="Book Antiqua"/>
          <w:sz w:val="20"/>
          <w:szCs w:val="20"/>
        </w:rPr>
        <w:t xml:space="preserve"> such relationships, this study contributes to the literature by addressing an important lacuna on how AI </w:t>
      </w:r>
      <w:r w:rsidR="00FC509E">
        <w:rPr>
          <w:rFonts w:ascii="Book Antiqua" w:hAnsi="Book Antiqua"/>
          <w:sz w:val="20"/>
          <w:szCs w:val="20"/>
        </w:rPr>
        <w:t>innovations</w:t>
      </w:r>
      <w:r w:rsidRPr="00120553">
        <w:rPr>
          <w:rFonts w:ascii="Book Antiqua" w:hAnsi="Book Antiqua"/>
          <w:sz w:val="20"/>
          <w:szCs w:val="20"/>
        </w:rPr>
        <w:t xml:space="preserve"> can be translated into practice for meeting </w:t>
      </w:r>
      <w:r w:rsidR="00FC509E">
        <w:rPr>
          <w:rFonts w:ascii="Book Antiqua" w:hAnsi="Book Antiqua"/>
          <w:sz w:val="20"/>
          <w:szCs w:val="20"/>
        </w:rPr>
        <w:t xml:space="preserve">the </w:t>
      </w:r>
      <w:r w:rsidRPr="00120553">
        <w:rPr>
          <w:rFonts w:ascii="Book Antiqua" w:hAnsi="Book Antiqua"/>
          <w:sz w:val="20"/>
          <w:szCs w:val="20"/>
        </w:rPr>
        <w:t>dual needs of industrial growth and ecological conservation in resource-scarce settings.</w:t>
      </w:r>
    </w:p>
    <w:p w14:paraId="7B534F3D" w14:textId="77777777" w:rsidR="00424237" w:rsidRDefault="00790B43" w:rsidP="00790B43">
      <w:pPr>
        <w:rPr>
          <w:color w:val="000000" w:themeColor="text1"/>
          <w:szCs w:val="20"/>
        </w:rPr>
      </w:pPr>
      <w:r w:rsidRPr="00790B43">
        <w:rPr>
          <w:color w:val="000000" w:themeColor="text1"/>
          <w:szCs w:val="20"/>
        </w:rPr>
        <w:t>Despite the increasing importance of AI-based supply chain integration (AI-SCI) and its potential benefits for environmental sustainability (ES), empirical evidence remains limited, particularly in developing countries such as Bangladesh. Current research mainly addresses developed markets, ignoring the infrastructural and institutional limitations of developing countries</w:t>
      </w:r>
      <w:r w:rsidR="0054742C">
        <w:rPr>
          <w:color w:val="000000" w:themeColor="text1"/>
          <w:szCs w:val="20"/>
        </w:rPr>
        <w:t xml:space="preserve"> [7]</w:t>
      </w:r>
      <w:r w:rsidRPr="00790B43">
        <w:rPr>
          <w:color w:val="000000" w:themeColor="text1"/>
          <w:szCs w:val="20"/>
        </w:rPr>
        <w:t xml:space="preserve">. </w:t>
      </w:r>
    </w:p>
    <w:p w14:paraId="03B28299" w14:textId="77777777" w:rsidR="00424237" w:rsidRDefault="00424237" w:rsidP="00790B43">
      <w:pPr>
        <w:rPr>
          <w:color w:val="000000" w:themeColor="text1"/>
          <w:szCs w:val="20"/>
        </w:rPr>
      </w:pPr>
    </w:p>
    <w:p w14:paraId="1F9D512F" w14:textId="4613E12E" w:rsidR="00790B43" w:rsidRPr="00790B43" w:rsidRDefault="00790B43" w:rsidP="00790B43">
      <w:pPr>
        <w:rPr>
          <w:color w:val="000000" w:themeColor="text1"/>
          <w:szCs w:val="20"/>
        </w:rPr>
      </w:pPr>
      <w:r w:rsidRPr="00790B43">
        <w:rPr>
          <w:color w:val="000000" w:themeColor="text1"/>
          <w:szCs w:val="20"/>
        </w:rPr>
        <w:t xml:space="preserve">In addition, it is hypothesized that TR and SCA are mediators; however, there is still a lack of research that illustrates the specific mediating mechanisms for AI-SCI and ES </w:t>
      </w:r>
      <w:r w:rsidR="00FC509E">
        <w:rPr>
          <w:color w:val="000000" w:themeColor="text1"/>
          <w:szCs w:val="20"/>
        </w:rPr>
        <w:t>concerning</w:t>
      </w:r>
      <w:r w:rsidRPr="00790B43">
        <w:rPr>
          <w:color w:val="000000" w:themeColor="text1"/>
          <w:szCs w:val="20"/>
        </w:rPr>
        <w:t xml:space="preserve"> the RMG sector </w:t>
      </w:r>
      <w:r w:rsidR="0054742C">
        <w:rPr>
          <w:color w:val="000000" w:themeColor="text1"/>
          <w:szCs w:val="20"/>
        </w:rPr>
        <w:t>[8]</w:t>
      </w:r>
      <w:r w:rsidRPr="00790B43">
        <w:rPr>
          <w:color w:val="000000" w:themeColor="text1"/>
          <w:szCs w:val="20"/>
        </w:rPr>
        <w:t xml:space="preserve">. The present study overcomes these limitations by (1) focusing on the direct effects of AI-SCI on ES in the RMG industry of Bangladesh and (2) empirically testing the mediating effects of TR and </w:t>
      </w:r>
      <w:r w:rsidR="00B071D6" w:rsidRPr="00790B43">
        <w:rPr>
          <w:color w:val="000000" w:themeColor="text1"/>
          <w:szCs w:val="20"/>
        </w:rPr>
        <w:t>SCA</w:t>
      </w:r>
      <w:r w:rsidR="00B071D6">
        <w:rPr>
          <w:color w:val="000000" w:themeColor="text1"/>
          <w:szCs w:val="20"/>
        </w:rPr>
        <w:t xml:space="preserve"> and</w:t>
      </w:r>
      <w:r w:rsidRPr="00790B43">
        <w:rPr>
          <w:color w:val="000000" w:themeColor="text1"/>
          <w:szCs w:val="20"/>
        </w:rPr>
        <w:t xml:space="preserve"> hence provides context-specific</w:t>
      </w:r>
      <w:r>
        <w:rPr>
          <w:color w:val="000000" w:themeColor="text1"/>
          <w:szCs w:val="20"/>
        </w:rPr>
        <w:t>.</w:t>
      </w:r>
      <w:r w:rsidRPr="00790B43">
        <w:rPr>
          <w:color w:val="000000" w:themeColor="text1"/>
          <w:szCs w:val="20"/>
        </w:rPr>
        <w:t xml:space="preserve"> </w:t>
      </w:r>
    </w:p>
    <w:p w14:paraId="7140397C" w14:textId="77777777" w:rsidR="00790B43" w:rsidRPr="00B81F2B" w:rsidRDefault="00790B43" w:rsidP="00790B43">
      <w:pPr>
        <w:rPr>
          <w:rFonts w:cs="Times New Roman"/>
          <w:b/>
          <w:bCs/>
          <w:i/>
          <w:color w:val="C45911" w:themeColor="accent2" w:themeShade="BF"/>
          <w:szCs w:val="20"/>
        </w:rPr>
      </w:pPr>
    </w:p>
    <w:p w14:paraId="47EA39D7" w14:textId="77777777" w:rsidR="00790B43" w:rsidRPr="00790B43" w:rsidRDefault="00790B43" w:rsidP="00790B43">
      <w:pPr>
        <w:rPr>
          <w:rFonts w:cs="Times New Roman"/>
          <w:b/>
          <w:bCs/>
          <w:color w:val="C45911" w:themeColor="accent2" w:themeShade="BF"/>
          <w:szCs w:val="20"/>
        </w:rPr>
      </w:pPr>
      <w:r w:rsidRPr="00790B43">
        <w:rPr>
          <w:rFonts w:cs="Times New Roman"/>
          <w:b/>
          <w:bCs/>
          <w:color w:val="C45911" w:themeColor="accent2" w:themeShade="BF"/>
          <w:szCs w:val="20"/>
        </w:rPr>
        <w:t>2. Literature Review</w:t>
      </w:r>
    </w:p>
    <w:p w14:paraId="7FB9C73E" w14:textId="77777777" w:rsidR="00790B43" w:rsidRPr="00790B43" w:rsidRDefault="00790B43" w:rsidP="00790B43">
      <w:pPr>
        <w:rPr>
          <w:rFonts w:cs="Times New Roman"/>
          <w:b/>
          <w:bCs/>
          <w:color w:val="C45911" w:themeColor="accent2" w:themeShade="BF"/>
          <w:szCs w:val="20"/>
        </w:rPr>
      </w:pPr>
      <w:bookmarkStart w:id="1" w:name="_Hlk204505149"/>
      <w:r w:rsidRPr="00790B43">
        <w:rPr>
          <w:rFonts w:cs="Times New Roman"/>
          <w:b/>
          <w:bCs/>
          <w:color w:val="C45911" w:themeColor="accent2" w:themeShade="BF"/>
          <w:szCs w:val="20"/>
        </w:rPr>
        <w:t>2.1 Overview of the RMG Sector in Bangladesh</w:t>
      </w:r>
    </w:p>
    <w:p w14:paraId="3C15FD18" w14:textId="77777777" w:rsidR="00424237" w:rsidRDefault="00790B43" w:rsidP="00790B43">
      <w:pPr>
        <w:rPr>
          <w:rFonts w:eastAsia="Times New Roman" w:cs="Times New Roman"/>
          <w:szCs w:val="20"/>
        </w:rPr>
      </w:pPr>
      <w:r w:rsidRPr="00120553">
        <w:rPr>
          <w:rFonts w:eastAsia="Times New Roman" w:cs="Times New Roman"/>
          <w:szCs w:val="20"/>
        </w:rPr>
        <w:t xml:space="preserve">Bangladesh’s economy largely depends on </w:t>
      </w:r>
      <w:r>
        <w:rPr>
          <w:rFonts w:eastAsia="Times New Roman" w:cs="Times New Roman"/>
          <w:szCs w:val="20"/>
        </w:rPr>
        <w:t xml:space="preserve">the </w:t>
      </w:r>
      <w:r w:rsidRPr="00120553">
        <w:rPr>
          <w:rFonts w:eastAsia="Times New Roman" w:cs="Times New Roman"/>
          <w:szCs w:val="20"/>
        </w:rPr>
        <w:t>garment sector</w:t>
      </w:r>
      <w:r>
        <w:rPr>
          <w:rFonts w:eastAsia="Times New Roman" w:cs="Times New Roman"/>
          <w:szCs w:val="20"/>
        </w:rPr>
        <w:t>,</w:t>
      </w:r>
      <w:r w:rsidRPr="00120553">
        <w:rPr>
          <w:rFonts w:eastAsia="Times New Roman" w:cs="Times New Roman"/>
          <w:szCs w:val="20"/>
        </w:rPr>
        <w:t xml:space="preserve"> which has </w:t>
      </w:r>
      <w:r>
        <w:rPr>
          <w:rFonts w:eastAsia="Times New Roman" w:cs="Times New Roman"/>
          <w:szCs w:val="20"/>
        </w:rPr>
        <w:t>the second-highest</w:t>
      </w:r>
      <w:r w:rsidRPr="00120553">
        <w:rPr>
          <w:rFonts w:eastAsia="Times New Roman" w:cs="Times New Roman"/>
          <w:szCs w:val="20"/>
        </w:rPr>
        <w:t xml:space="preserve"> </w:t>
      </w:r>
      <w:r>
        <w:rPr>
          <w:rFonts w:eastAsia="Times New Roman" w:cs="Times New Roman"/>
          <w:szCs w:val="20"/>
        </w:rPr>
        <w:t>earnings</w:t>
      </w:r>
      <w:r w:rsidRPr="00120553">
        <w:rPr>
          <w:rFonts w:eastAsia="Times New Roman" w:cs="Times New Roman"/>
          <w:szCs w:val="20"/>
        </w:rPr>
        <w:t xml:space="preserve"> </w:t>
      </w:r>
      <w:r w:rsidR="00B071D6">
        <w:rPr>
          <w:rFonts w:eastAsia="Times New Roman" w:cs="Times New Roman"/>
          <w:szCs w:val="20"/>
        </w:rPr>
        <w:t>from</w:t>
      </w:r>
      <w:r w:rsidRPr="00120553">
        <w:rPr>
          <w:rFonts w:eastAsia="Times New Roman" w:cs="Times New Roman"/>
          <w:szCs w:val="20"/>
        </w:rPr>
        <w:t xml:space="preserve"> </w:t>
      </w:r>
      <w:r>
        <w:rPr>
          <w:rFonts w:eastAsia="Times New Roman" w:cs="Times New Roman"/>
          <w:szCs w:val="20"/>
        </w:rPr>
        <w:t>exports</w:t>
      </w:r>
      <w:r w:rsidRPr="00120553">
        <w:rPr>
          <w:rFonts w:eastAsia="Times New Roman" w:cs="Times New Roman"/>
          <w:szCs w:val="20"/>
        </w:rPr>
        <w:t xml:space="preserve"> and employment. The RMG industry was responsible for about 83.49% of Bangladesh's overall exports worth $36.66 billion in the FY 2021-2022 and earning livelihood </w:t>
      </w:r>
      <w:r>
        <w:rPr>
          <w:rFonts w:eastAsia="Times New Roman" w:cs="Times New Roman"/>
          <w:szCs w:val="20"/>
        </w:rPr>
        <w:t>for around</w:t>
      </w:r>
      <w:r w:rsidRPr="00120553">
        <w:rPr>
          <w:rFonts w:eastAsia="Times New Roman" w:cs="Times New Roman"/>
          <w:szCs w:val="20"/>
        </w:rPr>
        <w:t xml:space="preserve"> 4.4 million workers, most of them women </w:t>
      </w:r>
      <w:r w:rsidR="000D3036">
        <w:rPr>
          <w:rFonts w:eastAsia="Times New Roman" w:cs="Times New Roman"/>
          <w:szCs w:val="20"/>
        </w:rPr>
        <w:t>[9]</w:t>
      </w:r>
      <w:r w:rsidRPr="00120553">
        <w:rPr>
          <w:rFonts w:eastAsia="Times New Roman" w:cs="Times New Roman"/>
          <w:szCs w:val="20"/>
        </w:rPr>
        <w:t xml:space="preserve">. </w:t>
      </w:r>
    </w:p>
    <w:p w14:paraId="09C734A6" w14:textId="77777777" w:rsidR="00424237" w:rsidRDefault="00424237" w:rsidP="00790B43">
      <w:pPr>
        <w:rPr>
          <w:rFonts w:eastAsia="Times New Roman" w:cs="Times New Roman"/>
          <w:szCs w:val="20"/>
        </w:rPr>
      </w:pPr>
    </w:p>
    <w:p w14:paraId="151D8312" w14:textId="329B4588" w:rsidR="00790B43" w:rsidRDefault="00790B43" w:rsidP="00790B43">
      <w:pPr>
        <w:rPr>
          <w:rFonts w:eastAsia="Times New Roman" w:cs="Times New Roman"/>
          <w:szCs w:val="20"/>
        </w:rPr>
      </w:pPr>
      <w:r w:rsidRPr="00120553">
        <w:rPr>
          <w:rFonts w:eastAsia="Times New Roman" w:cs="Times New Roman"/>
          <w:szCs w:val="20"/>
        </w:rPr>
        <w:t xml:space="preserve">This industry has been instrumental in reviving </w:t>
      </w:r>
      <w:r>
        <w:rPr>
          <w:rFonts w:eastAsia="Times New Roman" w:cs="Times New Roman"/>
          <w:szCs w:val="20"/>
        </w:rPr>
        <w:t>the</w:t>
      </w:r>
      <w:r w:rsidRPr="00120553">
        <w:rPr>
          <w:rFonts w:eastAsia="Times New Roman" w:cs="Times New Roman"/>
          <w:szCs w:val="20"/>
        </w:rPr>
        <w:t xml:space="preserve"> least developed Bangladesh and catapulting it to</w:t>
      </w:r>
      <w:r w:rsidRPr="00120553">
        <w:rPr>
          <w:rFonts w:eastAsia="Times New Roman" w:cs="Times New Roman"/>
          <w:szCs w:val="20"/>
        </w:rPr>
        <w:t> </w:t>
      </w:r>
      <w:r w:rsidRPr="00120553">
        <w:rPr>
          <w:rFonts w:eastAsia="Times New Roman" w:cs="Times New Roman"/>
          <w:szCs w:val="20"/>
        </w:rPr>
        <w:t>a middle-income one</w:t>
      </w:r>
      <w:r>
        <w:rPr>
          <w:rFonts w:eastAsia="Times New Roman" w:cs="Times New Roman"/>
          <w:szCs w:val="20"/>
        </w:rPr>
        <w:t>,</w:t>
      </w:r>
      <w:r w:rsidRPr="00120553">
        <w:rPr>
          <w:rFonts w:eastAsia="Times New Roman" w:cs="Times New Roman"/>
          <w:szCs w:val="20"/>
        </w:rPr>
        <w:t xml:space="preserve"> highlighting its economic importance </w:t>
      </w:r>
      <w:r w:rsidR="000D3036">
        <w:rPr>
          <w:rFonts w:eastAsia="Times New Roman" w:cs="Times New Roman"/>
          <w:szCs w:val="20"/>
        </w:rPr>
        <w:t>[9]</w:t>
      </w:r>
      <w:r w:rsidRPr="00120553">
        <w:rPr>
          <w:rFonts w:eastAsia="Times New Roman" w:cs="Times New Roman"/>
          <w:szCs w:val="20"/>
        </w:rPr>
        <w:t xml:space="preserve">. But the enormous expansion of the RMG industry has also not been without problems, </w:t>
      </w:r>
      <w:r>
        <w:rPr>
          <w:rFonts w:eastAsia="Times New Roman" w:cs="Times New Roman"/>
          <w:szCs w:val="20"/>
        </w:rPr>
        <w:t>especially regarding</w:t>
      </w:r>
      <w:r w:rsidRPr="00120553">
        <w:rPr>
          <w:rFonts w:eastAsia="Times New Roman" w:cs="Times New Roman"/>
          <w:szCs w:val="20"/>
        </w:rPr>
        <w:t xml:space="preserve"> environmental issues</w:t>
      </w:r>
      <w:bookmarkEnd w:id="1"/>
      <w:r w:rsidRPr="00120553">
        <w:rPr>
          <w:rFonts w:eastAsia="Times New Roman" w:cs="Times New Roman"/>
          <w:szCs w:val="20"/>
        </w:rPr>
        <w:t>.</w:t>
      </w:r>
    </w:p>
    <w:p w14:paraId="3822237B" w14:textId="77777777" w:rsidR="00790B43" w:rsidRPr="00120553" w:rsidRDefault="00790B43" w:rsidP="00790B43">
      <w:pPr>
        <w:rPr>
          <w:rFonts w:cs="Times New Roman"/>
          <w:b/>
          <w:bCs/>
          <w:color w:val="C45911" w:themeColor="accent2" w:themeShade="BF"/>
          <w:szCs w:val="20"/>
        </w:rPr>
      </w:pPr>
    </w:p>
    <w:p w14:paraId="395C8090" w14:textId="77777777" w:rsidR="00424237" w:rsidRDefault="00790B43" w:rsidP="00790B43">
      <w:pPr>
        <w:rPr>
          <w:rFonts w:eastAsia="Times New Roman" w:cs="Times New Roman"/>
          <w:szCs w:val="20"/>
        </w:rPr>
      </w:pPr>
      <w:r>
        <w:rPr>
          <w:rFonts w:eastAsia="Times New Roman" w:cs="Times New Roman"/>
          <w:szCs w:val="20"/>
        </w:rPr>
        <w:t>The environmental</w:t>
      </w:r>
      <w:r w:rsidRPr="00120553">
        <w:rPr>
          <w:rFonts w:eastAsia="Times New Roman" w:cs="Times New Roman"/>
          <w:szCs w:val="20"/>
        </w:rPr>
        <w:t xml:space="preserve"> challenges in </w:t>
      </w:r>
      <w:r>
        <w:rPr>
          <w:rFonts w:eastAsia="Times New Roman" w:cs="Times New Roman"/>
          <w:szCs w:val="20"/>
        </w:rPr>
        <w:t xml:space="preserve">the </w:t>
      </w:r>
      <w:r w:rsidRPr="00120553">
        <w:rPr>
          <w:rFonts w:eastAsia="Times New Roman" w:cs="Times New Roman"/>
          <w:szCs w:val="20"/>
        </w:rPr>
        <w:t xml:space="preserve">RMG industry are huge. The textile industry is well known as </w:t>
      </w:r>
      <w:r>
        <w:rPr>
          <w:rFonts w:eastAsia="Times New Roman" w:cs="Times New Roman"/>
          <w:szCs w:val="20"/>
        </w:rPr>
        <w:t xml:space="preserve">a </w:t>
      </w:r>
      <w:r w:rsidRPr="00120553">
        <w:rPr>
          <w:rFonts w:eastAsia="Times New Roman" w:cs="Times New Roman"/>
          <w:szCs w:val="20"/>
        </w:rPr>
        <w:t xml:space="preserve">water </w:t>
      </w:r>
      <w:r>
        <w:rPr>
          <w:rFonts w:eastAsia="Times New Roman" w:cs="Times New Roman"/>
          <w:szCs w:val="20"/>
        </w:rPr>
        <w:t>consumption-intensive</w:t>
      </w:r>
      <w:r w:rsidRPr="00120553">
        <w:rPr>
          <w:rFonts w:eastAsia="Times New Roman" w:cs="Times New Roman"/>
          <w:szCs w:val="20"/>
        </w:rPr>
        <w:t xml:space="preserve"> industry</w:t>
      </w:r>
      <w:r>
        <w:rPr>
          <w:rFonts w:eastAsia="Times New Roman" w:cs="Times New Roman"/>
          <w:szCs w:val="20"/>
        </w:rPr>
        <w:t>,</w:t>
      </w:r>
      <w:r w:rsidRPr="00120553">
        <w:rPr>
          <w:rFonts w:eastAsia="Times New Roman" w:cs="Times New Roman"/>
          <w:szCs w:val="20"/>
        </w:rPr>
        <w:t xml:space="preserve"> with the use of approximately 1,500 billion liters/</w:t>
      </w:r>
      <w:r>
        <w:rPr>
          <w:rFonts w:eastAsia="Times New Roman" w:cs="Times New Roman"/>
          <w:szCs w:val="20"/>
        </w:rPr>
        <w:t>year</w:t>
      </w:r>
      <w:r w:rsidRPr="00120553">
        <w:rPr>
          <w:rFonts w:eastAsia="Times New Roman" w:cs="Times New Roman"/>
          <w:szCs w:val="20"/>
        </w:rPr>
        <w:t xml:space="preserve"> of water for dyeing and washing purposes</w:t>
      </w:r>
      <w:r>
        <w:rPr>
          <w:rFonts w:eastAsia="Times New Roman" w:cs="Times New Roman"/>
          <w:szCs w:val="20"/>
        </w:rPr>
        <w:t>;</w:t>
      </w:r>
      <w:r w:rsidRPr="00120553">
        <w:rPr>
          <w:rFonts w:eastAsia="Times New Roman" w:cs="Times New Roman"/>
          <w:szCs w:val="20"/>
        </w:rPr>
        <w:t xml:space="preserve"> 42% of this amount is used by weaving and </w:t>
      </w:r>
      <w:r>
        <w:rPr>
          <w:rFonts w:eastAsia="Times New Roman" w:cs="Times New Roman"/>
          <w:szCs w:val="20"/>
        </w:rPr>
        <w:t>fabric preparation</w:t>
      </w:r>
      <w:r w:rsidRPr="00120553">
        <w:rPr>
          <w:rFonts w:eastAsia="Times New Roman" w:cs="Times New Roman"/>
          <w:szCs w:val="20"/>
        </w:rPr>
        <w:t xml:space="preserve"> sections </w:t>
      </w:r>
      <w:r w:rsidR="0036280F">
        <w:rPr>
          <w:rFonts w:eastAsia="Times New Roman" w:cs="Times New Roman"/>
          <w:szCs w:val="20"/>
        </w:rPr>
        <w:t>[10]</w:t>
      </w:r>
      <w:r w:rsidRPr="00120553">
        <w:rPr>
          <w:rFonts w:eastAsia="Times New Roman" w:cs="Times New Roman"/>
          <w:szCs w:val="20"/>
        </w:rPr>
        <w:t xml:space="preserve">. Furthermore, a lot of the factories </w:t>
      </w:r>
      <w:r>
        <w:rPr>
          <w:rFonts w:eastAsia="Times New Roman" w:cs="Times New Roman"/>
          <w:szCs w:val="20"/>
        </w:rPr>
        <w:t>do</w:t>
      </w:r>
      <w:r w:rsidRPr="00120553">
        <w:rPr>
          <w:rFonts w:eastAsia="Times New Roman" w:cs="Times New Roman"/>
          <w:szCs w:val="20"/>
        </w:rPr>
        <w:t xml:space="preserve"> not have good environmental management</w:t>
      </w:r>
      <w:r>
        <w:rPr>
          <w:rFonts w:eastAsia="Times New Roman" w:cs="Times New Roman"/>
          <w:szCs w:val="20"/>
        </w:rPr>
        <w:t>,</w:t>
      </w:r>
      <w:r w:rsidRPr="00120553">
        <w:rPr>
          <w:rFonts w:eastAsia="Times New Roman" w:cs="Times New Roman"/>
          <w:szCs w:val="20"/>
        </w:rPr>
        <w:t xml:space="preserve"> </w:t>
      </w:r>
      <w:r>
        <w:rPr>
          <w:rFonts w:eastAsia="Times New Roman" w:cs="Times New Roman"/>
          <w:szCs w:val="20"/>
        </w:rPr>
        <w:t>with the</w:t>
      </w:r>
      <w:r w:rsidRPr="00120553">
        <w:rPr>
          <w:rFonts w:eastAsia="Times New Roman" w:cs="Times New Roman"/>
          <w:szCs w:val="20"/>
        </w:rPr>
        <w:t xml:space="preserve"> consequence that pollution and resource depletion are made </w:t>
      </w:r>
      <w:r w:rsidR="0036280F">
        <w:rPr>
          <w:rFonts w:eastAsia="Times New Roman" w:cs="Times New Roman"/>
          <w:szCs w:val="20"/>
        </w:rPr>
        <w:t>[11]</w:t>
      </w:r>
      <w:r w:rsidRPr="00120553">
        <w:rPr>
          <w:rFonts w:eastAsia="Times New Roman" w:cs="Times New Roman"/>
          <w:szCs w:val="20"/>
        </w:rPr>
        <w:t xml:space="preserve">. </w:t>
      </w:r>
    </w:p>
    <w:p w14:paraId="64CFF972" w14:textId="77777777" w:rsidR="00424237" w:rsidRDefault="00424237" w:rsidP="00790B43">
      <w:pPr>
        <w:rPr>
          <w:rFonts w:eastAsia="Times New Roman" w:cs="Times New Roman"/>
          <w:szCs w:val="20"/>
        </w:rPr>
      </w:pPr>
    </w:p>
    <w:p w14:paraId="610B5236" w14:textId="77777777" w:rsidR="00424237" w:rsidRDefault="00790B43" w:rsidP="00790B43">
      <w:pPr>
        <w:rPr>
          <w:rFonts w:eastAsia="Times New Roman" w:cs="Times New Roman"/>
          <w:szCs w:val="20"/>
        </w:rPr>
      </w:pPr>
      <w:r w:rsidRPr="00120553">
        <w:rPr>
          <w:rFonts w:eastAsia="Times New Roman" w:cs="Times New Roman"/>
          <w:szCs w:val="20"/>
        </w:rPr>
        <w:t xml:space="preserve">These problems are intensified due to </w:t>
      </w:r>
      <w:r>
        <w:rPr>
          <w:rFonts w:eastAsia="Times New Roman" w:cs="Times New Roman"/>
          <w:szCs w:val="20"/>
        </w:rPr>
        <w:t xml:space="preserve">a </w:t>
      </w:r>
      <w:r w:rsidRPr="00120553">
        <w:rPr>
          <w:rFonts w:eastAsia="Times New Roman" w:cs="Times New Roman"/>
          <w:szCs w:val="20"/>
        </w:rPr>
        <w:t xml:space="preserve">shortage of knowledge and </w:t>
      </w:r>
      <w:r>
        <w:rPr>
          <w:rFonts w:eastAsia="Times New Roman" w:cs="Times New Roman"/>
          <w:szCs w:val="20"/>
        </w:rPr>
        <w:t xml:space="preserve">a </w:t>
      </w:r>
      <w:r w:rsidRPr="00120553">
        <w:rPr>
          <w:rFonts w:eastAsia="Times New Roman" w:cs="Times New Roman"/>
          <w:szCs w:val="20"/>
        </w:rPr>
        <w:t xml:space="preserve">lack of resources for </w:t>
      </w:r>
      <w:r>
        <w:rPr>
          <w:rFonts w:eastAsia="Times New Roman" w:cs="Times New Roman"/>
          <w:szCs w:val="20"/>
        </w:rPr>
        <w:t xml:space="preserve">the </w:t>
      </w:r>
      <w:r w:rsidRPr="00120553">
        <w:rPr>
          <w:rFonts w:eastAsia="Times New Roman" w:cs="Times New Roman"/>
          <w:szCs w:val="20"/>
        </w:rPr>
        <w:t xml:space="preserve">implementation of </w:t>
      </w:r>
      <w:r>
        <w:rPr>
          <w:rFonts w:eastAsia="Times New Roman" w:cs="Times New Roman"/>
          <w:szCs w:val="20"/>
        </w:rPr>
        <w:t>appropriate plans</w:t>
      </w:r>
      <w:r w:rsidRPr="00120553">
        <w:rPr>
          <w:rFonts w:eastAsia="Times New Roman" w:cs="Times New Roman"/>
          <w:szCs w:val="20"/>
        </w:rPr>
        <w:t xml:space="preserve"> for environmental management, as many industries still do not pay heed to their role in environmental protection </w:t>
      </w:r>
      <w:r w:rsidR="0036280F">
        <w:rPr>
          <w:rFonts w:eastAsia="Times New Roman" w:cs="Times New Roman"/>
          <w:szCs w:val="20"/>
        </w:rPr>
        <w:t>[11]</w:t>
      </w:r>
      <w:r w:rsidRPr="00120553">
        <w:rPr>
          <w:rFonts w:eastAsia="Times New Roman" w:cs="Times New Roman"/>
          <w:szCs w:val="20"/>
        </w:rPr>
        <w:t xml:space="preserve">. </w:t>
      </w:r>
    </w:p>
    <w:p w14:paraId="4D9353A2" w14:textId="77777777" w:rsidR="00424237" w:rsidRDefault="00424237" w:rsidP="00790B43">
      <w:pPr>
        <w:rPr>
          <w:rFonts w:eastAsia="Times New Roman" w:cs="Times New Roman"/>
          <w:szCs w:val="20"/>
        </w:rPr>
      </w:pPr>
    </w:p>
    <w:p w14:paraId="283A1299" w14:textId="0A5DDA7B" w:rsidR="00790B43" w:rsidRDefault="00790B43" w:rsidP="00790B43">
      <w:pPr>
        <w:rPr>
          <w:rFonts w:eastAsia="Times New Roman" w:cs="Times New Roman"/>
          <w:szCs w:val="20"/>
        </w:rPr>
      </w:pPr>
      <w:r w:rsidRPr="00120553">
        <w:rPr>
          <w:rFonts w:eastAsia="Times New Roman" w:cs="Times New Roman"/>
          <w:szCs w:val="20"/>
        </w:rPr>
        <w:t xml:space="preserve">Additionally, the fact that the industry operates primarily in non-industrial areas of the country has led to </w:t>
      </w:r>
      <w:r w:rsidR="00B071D6">
        <w:rPr>
          <w:rFonts w:eastAsia="Times New Roman" w:cs="Times New Roman"/>
          <w:szCs w:val="20"/>
        </w:rPr>
        <w:t xml:space="preserve">a </w:t>
      </w:r>
      <w:r w:rsidRPr="00120553">
        <w:rPr>
          <w:rFonts w:eastAsia="Times New Roman" w:cs="Times New Roman"/>
          <w:szCs w:val="20"/>
        </w:rPr>
        <w:t xml:space="preserve">lack of adherence to safety and environmental regulations, </w:t>
      </w:r>
      <w:r>
        <w:rPr>
          <w:rFonts w:eastAsia="Times New Roman" w:cs="Times New Roman"/>
          <w:szCs w:val="20"/>
        </w:rPr>
        <w:t>and therefore</w:t>
      </w:r>
      <w:r w:rsidRPr="00120553">
        <w:rPr>
          <w:rFonts w:eastAsia="Times New Roman" w:cs="Times New Roman"/>
          <w:szCs w:val="20"/>
        </w:rPr>
        <w:t xml:space="preserve"> to a higher environmental footprint </w:t>
      </w:r>
      <w:r w:rsidR="0036280F">
        <w:rPr>
          <w:rFonts w:eastAsia="Times New Roman" w:cs="Times New Roman"/>
          <w:szCs w:val="20"/>
        </w:rPr>
        <w:t>[12]</w:t>
      </w:r>
      <w:r w:rsidRPr="00120553">
        <w:rPr>
          <w:rFonts w:eastAsia="Times New Roman" w:cs="Times New Roman"/>
          <w:szCs w:val="20"/>
        </w:rPr>
        <w:t>.</w:t>
      </w:r>
    </w:p>
    <w:p w14:paraId="3BF93F92" w14:textId="77777777" w:rsidR="00790B43" w:rsidRPr="00120553" w:rsidRDefault="00790B43" w:rsidP="00790B43">
      <w:pPr>
        <w:rPr>
          <w:rFonts w:eastAsia="Times New Roman" w:cs="Times New Roman"/>
          <w:szCs w:val="20"/>
        </w:rPr>
      </w:pPr>
    </w:p>
    <w:p w14:paraId="174E00D5" w14:textId="77777777" w:rsidR="00424237" w:rsidRDefault="00790B43" w:rsidP="00790B43">
      <w:pPr>
        <w:rPr>
          <w:rFonts w:eastAsia="Times New Roman" w:cs="Times New Roman"/>
          <w:szCs w:val="20"/>
        </w:rPr>
      </w:pPr>
      <w:r w:rsidRPr="00120553">
        <w:rPr>
          <w:rFonts w:eastAsia="Times New Roman" w:cs="Times New Roman"/>
          <w:szCs w:val="20"/>
        </w:rPr>
        <w:t xml:space="preserve">In the context of the RMG industry, environmental sustainability at work includes environmentally sound practices that reduce ecological pollution without </w:t>
      </w:r>
      <w:r w:rsidR="00B071D6">
        <w:rPr>
          <w:rFonts w:eastAsia="Times New Roman" w:cs="Times New Roman"/>
          <w:szCs w:val="20"/>
        </w:rPr>
        <w:t>compromising economic</w:t>
      </w:r>
      <w:r w:rsidRPr="00120553">
        <w:rPr>
          <w:rFonts w:eastAsia="Times New Roman" w:cs="Times New Roman"/>
          <w:szCs w:val="20"/>
        </w:rPr>
        <w:t xml:space="preserve"> performance. Some performance measures that need to be tracked in such a sector </w:t>
      </w:r>
      <w:r w:rsidR="00B071D6">
        <w:rPr>
          <w:rFonts w:eastAsia="Times New Roman" w:cs="Times New Roman"/>
          <w:szCs w:val="20"/>
        </w:rPr>
        <w:t>are water</w:t>
      </w:r>
      <w:r w:rsidRPr="00120553">
        <w:rPr>
          <w:rFonts w:eastAsia="Times New Roman" w:cs="Times New Roman"/>
          <w:szCs w:val="20"/>
        </w:rPr>
        <w:t xml:space="preserve"> use efficiency, waste utilization from the production process</w:t>
      </w:r>
      <w:r w:rsidR="00B071D6">
        <w:rPr>
          <w:rFonts w:eastAsia="Times New Roman" w:cs="Times New Roman"/>
          <w:szCs w:val="20"/>
        </w:rPr>
        <w:t>,</w:t>
      </w:r>
      <w:r w:rsidRPr="00120553">
        <w:rPr>
          <w:rFonts w:eastAsia="Times New Roman" w:cs="Times New Roman"/>
          <w:szCs w:val="20"/>
        </w:rPr>
        <w:t xml:space="preserve"> and implementation of green manufacturing technology </w:t>
      </w:r>
      <w:r w:rsidR="0036280F">
        <w:rPr>
          <w:rFonts w:eastAsia="Times New Roman" w:cs="Times New Roman"/>
          <w:szCs w:val="20"/>
        </w:rPr>
        <w:t>[13]</w:t>
      </w:r>
      <w:r w:rsidRPr="00120553">
        <w:rPr>
          <w:rFonts w:eastAsia="Times New Roman" w:cs="Times New Roman"/>
          <w:szCs w:val="20"/>
        </w:rPr>
        <w:t>.</w:t>
      </w:r>
    </w:p>
    <w:p w14:paraId="7FB29F95" w14:textId="77777777" w:rsidR="00424237" w:rsidRDefault="00424237" w:rsidP="00790B43">
      <w:pPr>
        <w:rPr>
          <w:rFonts w:eastAsia="Times New Roman" w:cs="Times New Roman"/>
          <w:szCs w:val="20"/>
        </w:rPr>
      </w:pPr>
    </w:p>
    <w:p w14:paraId="56E82EE1" w14:textId="2682B6FC" w:rsidR="00790B43" w:rsidRDefault="00790B43" w:rsidP="00790B43">
      <w:pPr>
        <w:rPr>
          <w:rFonts w:eastAsia="Times New Roman" w:cs="Times New Roman"/>
          <w:szCs w:val="20"/>
        </w:rPr>
      </w:pPr>
      <w:r w:rsidRPr="00120553">
        <w:rPr>
          <w:rFonts w:eastAsia="Times New Roman" w:cs="Times New Roman"/>
          <w:szCs w:val="20"/>
        </w:rPr>
        <w:lastRenderedPageBreak/>
        <w:t xml:space="preserve"> Sustainable practices </w:t>
      </w:r>
      <w:r w:rsidR="00B071D6">
        <w:rPr>
          <w:rFonts w:eastAsia="Times New Roman" w:cs="Times New Roman"/>
          <w:szCs w:val="20"/>
        </w:rPr>
        <w:t>need to</w:t>
      </w:r>
      <w:r w:rsidRPr="00120553">
        <w:rPr>
          <w:rFonts w:eastAsia="Times New Roman" w:cs="Times New Roman"/>
          <w:szCs w:val="20"/>
        </w:rPr>
        <w:t xml:space="preserve"> be incorporated not only for the sake of abiding by the international rules and regulations, but also for improving </w:t>
      </w:r>
      <w:r w:rsidR="00B071D6">
        <w:rPr>
          <w:rFonts w:eastAsia="Times New Roman" w:cs="Times New Roman"/>
          <w:szCs w:val="20"/>
        </w:rPr>
        <w:t xml:space="preserve">the </w:t>
      </w:r>
      <w:r w:rsidRPr="00120553">
        <w:rPr>
          <w:rFonts w:eastAsia="Times New Roman" w:cs="Times New Roman"/>
          <w:szCs w:val="20"/>
        </w:rPr>
        <w:t xml:space="preserve">global competitive position of the sector </w:t>
      </w:r>
      <w:r w:rsidR="0036280F">
        <w:rPr>
          <w:rFonts w:eastAsia="Times New Roman" w:cs="Times New Roman"/>
          <w:szCs w:val="20"/>
        </w:rPr>
        <w:t>[13]</w:t>
      </w:r>
      <w:r w:rsidRPr="00120553">
        <w:rPr>
          <w:rFonts w:eastAsia="Times New Roman" w:cs="Times New Roman"/>
          <w:szCs w:val="20"/>
        </w:rPr>
        <w:t xml:space="preserve">. Adoption of </w:t>
      </w:r>
      <w:r w:rsidR="00B071D6">
        <w:rPr>
          <w:rFonts w:eastAsia="Times New Roman" w:cs="Times New Roman"/>
          <w:szCs w:val="20"/>
        </w:rPr>
        <w:t>IMS.</w:t>
      </w:r>
      <w:r w:rsidRPr="00120553">
        <w:rPr>
          <w:rFonts w:eastAsia="Times New Roman" w:cs="Times New Roman"/>
          <w:szCs w:val="20"/>
        </w:rPr>
        <w:t xml:space="preserve"> The implementation of IMS has been advocated as a way of reducing the environmental impact of businesses by increasing transparency and resource efficiency </w:t>
      </w:r>
      <w:r w:rsidR="0036280F">
        <w:rPr>
          <w:rFonts w:eastAsia="Times New Roman" w:cs="Times New Roman"/>
          <w:szCs w:val="20"/>
        </w:rPr>
        <w:t>[14]</w:t>
      </w:r>
      <w:r w:rsidRPr="00120553">
        <w:rPr>
          <w:rFonts w:eastAsia="Times New Roman" w:cs="Times New Roman"/>
          <w:szCs w:val="20"/>
        </w:rPr>
        <w:t>.</w:t>
      </w:r>
    </w:p>
    <w:p w14:paraId="5F9FB400" w14:textId="77777777" w:rsidR="00FC509E" w:rsidRPr="00120553" w:rsidRDefault="00FC509E" w:rsidP="00790B43">
      <w:pPr>
        <w:rPr>
          <w:rFonts w:eastAsia="Times New Roman" w:cs="Times New Roman"/>
          <w:szCs w:val="20"/>
        </w:rPr>
      </w:pPr>
    </w:p>
    <w:p w14:paraId="43EAC53C" w14:textId="6E850FF2" w:rsidR="00790B43" w:rsidRPr="00B071D6" w:rsidRDefault="00790B43" w:rsidP="00B071D6">
      <w:pPr>
        <w:spacing w:after="240"/>
        <w:rPr>
          <w:rFonts w:eastAsia="Times New Roman" w:cs="Times New Roman"/>
          <w:szCs w:val="20"/>
        </w:rPr>
      </w:pPr>
      <w:r w:rsidRPr="00120553">
        <w:rPr>
          <w:rFonts w:eastAsia="Times New Roman" w:cs="Times New Roman"/>
          <w:szCs w:val="20"/>
        </w:rPr>
        <w:t xml:space="preserve">In summary, the RMG industry is </w:t>
      </w:r>
      <w:r w:rsidR="001C03F4">
        <w:rPr>
          <w:rFonts w:eastAsia="Times New Roman" w:cs="Times New Roman"/>
          <w:szCs w:val="20"/>
        </w:rPr>
        <w:t>a vital component of Bangladesh's economy, but it faces significant environmental challenges that necessitate a shift towards</w:t>
      </w:r>
      <w:r w:rsidRPr="00120553">
        <w:rPr>
          <w:rFonts w:eastAsia="Times New Roman" w:cs="Times New Roman"/>
          <w:szCs w:val="20"/>
        </w:rPr>
        <w:t xml:space="preserve"> more sustainable practices. The implementation of AI in supply chain management </w:t>
      </w:r>
      <w:r w:rsidR="001C03F4">
        <w:rPr>
          <w:rFonts w:eastAsia="Times New Roman" w:cs="Times New Roman"/>
          <w:szCs w:val="20"/>
        </w:rPr>
        <w:t>offers a promising approach to addressing these challenges, enabling the industry to enhance its sustainability performance while maintaining its economic significance</w:t>
      </w:r>
      <w:r w:rsidRPr="00120553">
        <w:rPr>
          <w:rFonts w:eastAsia="Times New Roman" w:cs="Times New Roman"/>
          <w:szCs w:val="20"/>
        </w:rPr>
        <w:t>.</w:t>
      </w:r>
    </w:p>
    <w:p w14:paraId="209D66C4" w14:textId="77777777" w:rsidR="00790B43" w:rsidRPr="00790B43" w:rsidRDefault="00790B43" w:rsidP="00790B43">
      <w:pPr>
        <w:rPr>
          <w:rFonts w:cs="Times New Roman"/>
          <w:b/>
          <w:bCs/>
          <w:iCs/>
          <w:color w:val="C45911" w:themeColor="accent2" w:themeShade="BF"/>
          <w:szCs w:val="20"/>
        </w:rPr>
      </w:pPr>
      <w:r w:rsidRPr="00790B43">
        <w:rPr>
          <w:rFonts w:cs="Times New Roman"/>
          <w:b/>
          <w:bCs/>
          <w:iCs/>
          <w:color w:val="C45911" w:themeColor="accent2" w:themeShade="BF"/>
          <w:szCs w:val="20"/>
        </w:rPr>
        <w:t>2.2 AI-Driven Supply Chain Integration</w:t>
      </w:r>
    </w:p>
    <w:p w14:paraId="6C6F39BE" w14:textId="11B96497" w:rsidR="00424237" w:rsidRDefault="00790B43" w:rsidP="00790B43">
      <w:pPr>
        <w:rPr>
          <w:rFonts w:eastAsia="Times New Roman" w:cs="Times New Roman"/>
          <w:szCs w:val="20"/>
        </w:rPr>
      </w:pPr>
      <w:r>
        <w:rPr>
          <w:rFonts w:eastAsia="Times New Roman" w:cs="Times New Roman"/>
          <w:szCs w:val="20"/>
        </w:rPr>
        <w:t>AI-enabled</w:t>
      </w:r>
      <w:r w:rsidRPr="00120553">
        <w:rPr>
          <w:rFonts w:eastAsia="Times New Roman" w:cs="Times New Roman"/>
          <w:szCs w:val="20"/>
        </w:rPr>
        <w:t xml:space="preserve"> supply chain integration</w:t>
      </w:r>
      <w:r w:rsidR="001C03F4">
        <w:rPr>
          <w:rFonts w:eastAsia="Times New Roman" w:cs="Times New Roman"/>
          <w:szCs w:val="20"/>
        </w:rPr>
        <w:t xml:space="preserve"> is defined as the integration of artificial intelligence (AI) technologies that enable efficient, resilient, and sustainable supply chain operations</w:t>
      </w:r>
      <w:r w:rsidRPr="00120553">
        <w:rPr>
          <w:rFonts w:eastAsia="Times New Roman" w:cs="Times New Roman"/>
          <w:szCs w:val="20"/>
        </w:rPr>
        <w:t xml:space="preserve">. Some of </w:t>
      </w:r>
      <w:r w:rsidR="001C03F4">
        <w:rPr>
          <w:rFonts w:eastAsia="Times New Roman" w:cs="Times New Roman"/>
          <w:szCs w:val="20"/>
        </w:rPr>
        <w:t>these key components have now been systematically reviewed, including</w:t>
      </w:r>
      <w:r>
        <w:rPr>
          <w:rFonts w:eastAsia="Times New Roman" w:cs="Times New Roman"/>
          <w:szCs w:val="20"/>
        </w:rPr>
        <w:t xml:space="preserve"> </w:t>
      </w:r>
      <w:r w:rsidRPr="00120553">
        <w:rPr>
          <w:rFonts w:eastAsia="Times New Roman" w:cs="Times New Roman"/>
          <w:szCs w:val="20"/>
        </w:rPr>
        <w:t> </w:t>
      </w:r>
      <w:r w:rsidRPr="00120553">
        <w:rPr>
          <w:rFonts w:eastAsia="Times New Roman" w:cs="Times New Roman"/>
          <w:szCs w:val="20"/>
        </w:rPr>
        <w:t xml:space="preserve">predictive analysis, real-time data segmentation, </w:t>
      </w:r>
      <w:r>
        <w:rPr>
          <w:rFonts w:eastAsia="Times New Roman" w:cs="Times New Roman"/>
          <w:szCs w:val="20"/>
        </w:rPr>
        <w:t xml:space="preserve">and </w:t>
      </w:r>
      <w:r w:rsidRPr="00120553">
        <w:rPr>
          <w:rFonts w:eastAsia="Times New Roman" w:cs="Times New Roman"/>
          <w:szCs w:val="20"/>
        </w:rPr>
        <w:t xml:space="preserve">intelligent decision-making </w:t>
      </w:r>
      <w:r w:rsidR="0036280F">
        <w:rPr>
          <w:rFonts w:eastAsia="Times New Roman" w:cs="Times New Roman"/>
          <w:szCs w:val="20"/>
        </w:rPr>
        <w:t>[15]</w:t>
      </w:r>
      <w:r w:rsidRPr="00120553">
        <w:rPr>
          <w:rFonts w:eastAsia="Times New Roman" w:cs="Times New Roman"/>
          <w:szCs w:val="20"/>
        </w:rPr>
        <w:t xml:space="preserve">. </w:t>
      </w:r>
    </w:p>
    <w:p w14:paraId="654F34BB" w14:textId="77777777" w:rsidR="00424237" w:rsidRDefault="00424237" w:rsidP="00790B43">
      <w:pPr>
        <w:rPr>
          <w:rFonts w:eastAsia="Times New Roman" w:cs="Times New Roman"/>
          <w:szCs w:val="20"/>
        </w:rPr>
      </w:pPr>
    </w:p>
    <w:p w14:paraId="517C2A1E" w14:textId="3ECFEC73" w:rsidR="00790B43" w:rsidRPr="00120553" w:rsidRDefault="00790B43" w:rsidP="00790B43">
      <w:pPr>
        <w:rPr>
          <w:rFonts w:cs="Times New Roman"/>
          <w:b/>
          <w:bCs/>
          <w:color w:val="C45911" w:themeColor="accent2" w:themeShade="BF"/>
          <w:szCs w:val="20"/>
        </w:rPr>
      </w:pPr>
      <w:r w:rsidRPr="00120553">
        <w:rPr>
          <w:rFonts w:eastAsia="Times New Roman" w:cs="Times New Roman"/>
          <w:szCs w:val="20"/>
        </w:rPr>
        <w:t xml:space="preserve">These features will facilitate better demand forecasting, </w:t>
      </w:r>
      <w:r>
        <w:rPr>
          <w:rFonts w:eastAsia="Times New Roman" w:cs="Times New Roman"/>
          <w:szCs w:val="20"/>
        </w:rPr>
        <w:t>inventory management,</w:t>
      </w:r>
      <w:r w:rsidRPr="00120553">
        <w:rPr>
          <w:rFonts w:eastAsia="Times New Roman" w:cs="Times New Roman"/>
          <w:szCs w:val="20"/>
        </w:rPr>
        <w:t xml:space="preserve"> and logistics, </w:t>
      </w:r>
      <w:r w:rsidR="001C03F4">
        <w:rPr>
          <w:rFonts w:eastAsia="Times New Roman" w:cs="Times New Roman"/>
          <w:szCs w:val="20"/>
        </w:rPr>
        <w:t>supporting</w:t>
      </w:r>
      <w:r w:rsidRPr="00120553">
        <w:rPr>
          <w:rFonts w:eastAsia="Times New Roman" w:cs="Times New Roman"/>
          <w:szCs w:val="20"/>
        </w:rPr>
        <w:t xml:space="preserve"> a more agile and innovative supply chain (Krishnan, 2024). In addition, AI methods</w:t>
      </w:r>
      <w:r>
        <w:rPr>
          <w:rFonts w:eastAsia="Times New Roman" w:cs="Times New Roman"/>
          <w:szCs w:val="20"/>
        </w:rPr>
        <w:t>,</w:t>
      </w:r>
      <w:r w:rsidRPr="00120553">
        <w:rPr>
          <w:rFonts w:eastAsia="Times New Roman" w:cs="Times New Roman"/>
          <w:szCs w:val="20"/>
        </w:rPr>
        <w:t xml:space="preserve"> including machine learning and natural</w:t>
      </w:r>
      <w:r w:rsidR="001C03F4">
        <w:rPr>
          <w:rFonts w:eastAsia="Times New Roman" w:cs="Times New Roman"/>
          <w:szCs w:val="20"/>
        </w:rPr>
        <w:t xml:space="preserve"> language processing, are being increasingly used to refine various supply chain tasks, thereby</w:t>
      </w:r>
      <w:r w:rsidRPr="00120553">
        <w:rPr>
          <w:rFonts w:eastAsia="Times New Roman" w:cs="Times New Roman"/>
          <w:szCs w:val="20"/>
        </w:rPr>
        <w:t xml:space="preserve"> replacing traditional working models with more data-driven ones </w:t>
      </w:r>
      <w:r w:rsidR="0036280F">
        <w:rPr>
          <w:rFonts w:eastAsia="Times New Roman" w:cs="Times New Roman"/>
          <w:szCs w:val="20"/>
        </w:rPr>
        <w:t>[16]</w:t>
      </w:r>
      <w:r w:rsidRPr="00120553">
        <w:rPr>
          <w:rFonts w:eastAsia="Times New Roman" w:cs="Times New Roman"/>
          <w:szCs w:val="20"/>
        </w:rPr>
        <w:t>.</w:t>
      </w:r>
    </w:p>
    <w:p w14:paraId="5D6BEC2D" w14:textId="57480F3F" w:rsidR="00424237" w:rsidRDefault="00790B43" w:rsidP="00790B43">
      <w:pPr>
        <w:spacing w:before="100" w:beforeAutospacing="1" w:after="100" w:afterAutospacing="1"/>
        <w:rPr>
          <w:rFonts w:eastAsia="Times New Roman" w:cs="Times New Roman"/>
          <w:szCs w:val="20"/>
        </w:rPr>
      </w:pPr>
      <w:r w:rsidRPr="00120553">
        <w:rPr>
          <w:rFonts w:eastAsia="Times New Roman" w:cs="Times New Roman"/>
          <w:szCs w:val="20"/>
        </w:rPr>
        <w:t xml:space="preserve">AIM and SCM have </w:t>
      </w:r>
      <w:r>
        <w:rPr>
          <w:rFonts w:eastAsia="Times New Roman" w:cs="Times New Roman"/>
          <w:szCs w:val="20"/>
        </w:rPr>
        <w:t>immense operational</w:t>
      </w:r>
      <w:r w:rsidRPr="00120553">
        <w:rPr>
          <w:rFonts w:eastAsia="Times New Roman" w:cs="Times New Roman"/>
          <w:szCs w:val="20"/>
        </w:rPr>
        <w:t xml:space="preserve"> and environmental advantages. Research </w:t>
      </w:r>
      <w:r>
        <w:rPr>
          <w:rFonts w:eastAsia="Times New Roman" w:cs="Times New Roman"/>
          <w:szCs w:val="20"/>
        </w:rPr>
        <w:t xml:space="preserve">has </w:t>
      </w:r>
      <w:r w:rsidR="001C03F4">
        <w:rPr>
          <w:rFonts w:eastAsia="Times New Roman" w:cs="Times New Roman"/>
          <w:szCs w:val="20"/>
        </w:rPr>
        <w:t xml:space="preserve">shown that AI can enhance operational efficiency by automating mundane tasks and improving demand prediction accuracy, as well as optimizing </w:t>
      </w:r>
      <w:r w:rsidRPr="00120553">
        <w:rPr>
          <w:rFonts w:eastAsia="Times New Roman" w:cs="Times New Roman"/>
          <w:szCs w:val="20"/>
        </w:rPr>
        <w:t xml:space="preserve">resource allocation </w:t>
      </w:r>
      <w:r w:rsidR="0036280F">
        <w:rPr>
          <w:rFonts w:eastAsia="Times New Roman" w:cs="Times New Roman"/>
          <w:szCs w:val="20"/>
        </w:rPr>
        <w:t>[17]</w:t>
      </w:r>
      <w:r w:rsidRPr="00120553">
        <w:rPr>
          <w:rFonts w:eastAsia="Times New Roman" w:cs="Times New Roman"/>
          <w:szCs w:val="20"/>
        </w:rPr>
        <w:t xml:space="preserve">. For </w:t>
      </w:r>
      <w:r w:rsidR="00B071D6" w:rsidRPr="00120553">
        <w:rPr>
          <w:rFonts w:eastAsia="Times New Roman" w:cs="Times New Roman"/>
          <w:szCs w:val="20"/>
        </w:rPr>
        <w:t>example,</w:t>
      </w:r>
      <w:r w:rsidR="00B071D6">
        <w:rPr>
          <w:rFonts w:eastAsia="Times New Roman" w:cs="Times New Roman"/>
          <w:szCs w:val="20"/>
        </w:rPr>
        <w:t xml:space="preserve"> </w:t>
      </w:r>
      <w:r w:rsidRPr="00120553">
        <w:rPr>
          <w:rFonts w:eastAsia="Times New Roman" w:cs="Times New Roman"/>
          <w:szCs w:val="20"/>
        </w:rPr>
        <w:t> </w:t>
      </w:r>
      <w:r w:rsidRPr="00120553">
        <w:rPr>
          <w:rFonts w:eastAsia="Times New Roman" w:cs="Times New Roman"/>
          <w:szCs w:val="20"/>
        </w:rPr>
        <w:t>predictive maintenance driven by AI can minimize downtime (via the optimization of the use of assets)</w:t>
      </w:r>
      <w:r>
        <w:rPr>
          <w:rFonts w:eastAsia="Times New Roman" w:cs="Times New Roman"/>
          <w:szCs w:val="20"/>
        </w:rPr>
        <w:t>,</w:t>
      </w:r>
      <w:r w:rsidRPr="00120553">
        <w:rPr>
          <w:rFonts w:eastAsia="Times New Roman" w:cs="Times New Roman"/>
          <w:szCs w:val="20"/>
        </w:rPr>
        <w:t xml:space="preserve"> reducing costs and increasing service levels. </w:t>
      </w:r>
    </w:p>
    <w:p w14:paraId="2368B497" w14:textId="10506D11" w:rsidR="00790B43" w:rsidRPr="00120553" w:rsidRDefault="00790B43" w:rsidP="00790B43">
      <w:pPr>
        <w:spacing w:before="100" w:beforeAutospacing="1" w:after="100" w:afterAutospacing="1"/>
        <w:rPr>
          <w:rFonts w:eastAsia="Times New Roman" w:cs="Times New Roman"/>
          <w:szCs w:val="20"/>
        </w:rPr>
      </w:pPr>
      <w:r>
        <w:rPr>
          <w:rFonts w:eastAsia="Times New Roman" w:cs="Times New Roman"/>
          <w:szCs w:val="20"/>
        </w:rPr>
        <w:t>From an</w:t>
      </w:r>
      <w:r w:rsidRPr="00120553">
        <w:rPr>
          <w:rFonts w:eastAsia="Times New Roman" w:cs="Times New Roman"/>
          <w:szCs w:val="20"/>
        </w:rPr>
        <w:t xml:space="preserve"> environmental perspective, AI helps promote more sustainable practices -for instance</w:t>
      </w:r>
      <w:r>
        <w:rPr>
          <w:rFonts w:eastAsia="Times New Roman" w:cs="Times New Roman"/>
          <w:szCs w:val="20"/>
        </w:rPr>
        <w:t>,</w:t>
      </w:r>
      <w:r w:rsidRPr="00120553">
        <w:rPr>
          <w:rFonts w:eastAsia="Times New Roman" w:cs="Times New Roman"/>
          <w:szCs w:val="20"/>
        </w:rPr>
        <w:t xml:space="preserve"> greener transportation, by finding more ecologically friendly logistics routes to reduce emissions, and more transparent supply chains, to ensure better compliance with environmental laws </w:t>
      </w:r>
      <w:r w:rsidR="0036280F">
        <w:rPr>
          <w:rFonts w:eastAsia="Times New Roman" w:cs="Times New Roman"/>
          <w:szCs w:val="20"/>
        </w:rPr>
        <w:t>[18]</w:t>
      </w:r>
      <w:r w:rsidRPr="00120553">
        <w:rPr>
          <w:rFonts w:eastAsia="Times New Roman" w:cs="Times New Roman"/>
          <w:szCs w:val="20"/>
        </w:rPr>
        <w:t xml:space="preserve">. The application of AI </w:t>
      </w:r>
      <w:r>
        <w:rPr>
          <w:rFonts w:eastAsia="Times New Roman" w:cs="Times New Roman"/>
          <w:szCs w:val="20"/>
        </w:rPr>
        <w:t>in</w:t>
      </w:r>
      <w:r w:rsidRPr="00120553">
        <w:rPr>
          <w:rFonts w:eastAsia="Times New Roman" w:cs="Times New Roman"/>
          <w:szCs w:val="20"/>
        </w:rPr>
        <w:t xml:space="preserve"> supply chains not only enables </w:t>
      </w:r>
      <w:r>
        <w:rPr>
          <w:rFonts w:eastAsia="Times New Roman" w:cs="Times New Roman"/>
          <w:szCs w:val="20"/>
        </w:rPr>
        <w:t>operational efficiencies</w:t>
      </w:r>
      <w:r w:rsidRPr="00120553">
        <w:rPr>
          <w:rFonts w:eastAsia="Times New Roman" w:cs="Times New Roman"/>
          <w:szCs w:val="20"/>
        </w:rPr>
        <w:t xml:space="preserve"> but also promotes environmental sustainability.</w:t>
      </w:r>
    </w:p>
    <w:p w14:paraId="02E4C9B8" w14:textId="7148D6C4" w:rsidR="00790B43" w:rsidRPr="00120553" w:rsidRDefault="00790B43" w:rsidP="00790B43">
      <w:pPr>
        <w:spacing w:before="100" w:beforeAutospacing="1" w:after="100" w:afterAutospacing="1"/>
        <w:rPr>
          <w:rFonts w:eastAsia="Times New Roman" w:cs="Times New Roman"/>
          <w:szCs w:val="20"/>
        </w:rPr>
      </w:pPr>
      <w:r w:rsidRPr="00120553">
        <w:rPr>
          <w:rFonts w:eastAsia="Times New Roman" w:cs="Times New Roman"/>
          <w:szCs w:val="20"/>
        </w:rPr>
        <w:t xml:space="preserve">The evidence on the positive </w:t>
      </w:r>
      <w:r>
        <w:rPr>
          <w:rFonts w:eastAsia="Times New Roman" w:cs="Times New Roman"/>
          <w:szCs w:val="20"/>
        </w:rPr>
        <w:t>nexus between</w:t>
      </w:r>
      <w:r w:rsidRPr="00120553">
        <w:rPr>
          <w:rFonts w:eastAsia="Times New Roman" w:cs="Times New Roman"/>
          <w:szCs w:val="20"/>
        </w:rPr>
        <w:t xml:space="preserve"> direct evidence of AI adoption and environmental sustainability is strong. AI-based solutions </w:t>
      </w:r>
      <w:r w:rsidR="00342DD7">
        <w:rPr>
          <w:rFonts w:eastAsia="Times New Roman" w:cs="Times New Roman"/>
          <w:szCs w:val="20"/>
        </w:rPr>
        <w:t>enable organizations to go green by utilizing their resources more efficiently and reducing</w:t>
      </w:r>
      <w:r w:rsidRPr="00120553">
        <w:rPr>
          <w:rFonts w:eastAsia="Times New Roman" w:cs="Times New Roman"/>
          <w:szCs w:val="20"/>
        </w:rPr>
        <w:t xml:space="preserve"> waste. For example, AI can process data to </w:t>
      </w:r>
      <w:r w:rsidR="001C03F4">
        <w:rPr>
          <w:rFonts w:eastAsia="Times New Roman" w:cs="Times New Roman"/>
          <w:szCs w:val="20"/>
        </w:rPr>
        <w:t>identify inefficiencies in energy consumption throughout the supply chain, leading to targeted</w:t>
      </w:r>
      <w:r w:rsidRPr="00120553">
        <w:rPr>
          <w:rFonts w:eastAsia="Times New Roman" w:cs="Times New Roman"/>
          <w:szCs w:val="20"/>
        </w:rPr>
        <w:t xml:space="preserve"> </w:t>
      </w:r>
      <w:r>
        <w:rPr>
          <w:rFonts w:eastAsia="Times New Roman" w:cs="Times New Roman"/>
          <w:szCs w:val="20"/>
        </w:rPr>
        <w:t>interventions to</w:t>
      </w:r>
      <w:r w:rsidRPr="00120553">
        <w:rPr>
          <w:rFonts w:eastAsia="Times New Roman" w:cs="Times New Roman"/>
          <w:szCs w:val="20"/>
        </w:rPr>
        <w:t xml:space="preserve"> reduce carbon footprints </w:t>
      </w:r>
      <w:r w:rsidR="0036280F">
        <w:rPr>
          <w:rFonts w:eastAsia="Times New Roman" w:cs="Times New Roman"/>
          <w:szCs w:val="20"/>
        </w:rPr>
        <w:t>[19]</w:t>
      </w:r>
      <w:r w:rsidRPr="00120553">
        <w:rPr>
          <w:rFonts w:eastAsia="Times New Roman" w:cs="Times New Roman"/>
          <w:szCs w:val="20"/>
        </w:rPr>
        <w:t xml:space="preserve">. Furthermore, AI enables better tracking and handling of </w:t>
      </w:r>
      <w:r>
        <w:rPr>
          <w:rFonts w:eastAsia="Times New Roman" w:cs="Times New Roman"/>
          <w:szCs w:val="20"/>
        </w:rPr>
        <w:t>materials</w:t>
      </w:r>
      <w:r w:rsidR="001C03F4">
        <w:rPr>
          <w:rFonts w:eastAsia="Times New Roman" w:cs="Times New Roman"/>
          <w:szCs w:val="20"/>
        </w:rPr>
        <w:t>, resulting in</w:t>
      </w:r>
      <w:r w:rsidRPr="00120553">
        <w:rPr>
          <w:rFonts w:eastAsia="Times New Roman" w:cs="Times New Roman"/>
          <w:szCs w:val="20"/>
        </w:rPr>
        <w:t xml:space="preserve"> more effective recycling and waste management (ibid).</w:t>
      </w:r>
    </w:p>
    <w:p w14:paraId="1E1B488D" w14:textId="30E67B5F" w:rsidR="00790B43" w:rsidRPr="00120553" w:rsidRDefault="00790B43" w:rsidP="00790B43">
      <w:pPr>
        <w:rPr>
          <w:rFonts w:cs="Times New Roman"/>
          <w:bCs/>
          <w:szCs w:val="20"/>
        </w:rPr>
      </w:pPr>
      <w:r w:rsidRPr="00120553">
        <w:rPr>
          <w:rFonts w:cs="Times New Roman"/>
          <w:b/>
          <w:bCs/>
          <w:szCs w:val="20"/>
        </w:rPr>
        <w:t>H1:</w:t>
      </w:r>
      <w:r w:rsidRPr="00120553">
        <w:rPr>
          <w:rFonts w:cs="Times New Roman"/>
          <w:bCs/>
          <w:szCs w:val="20"/>
        </w:rPr>
        <w:t xml:space="preserve"> </w:t>
      </w:r>
      <w:r w:rsidRPr="00790B43">
        <w:rPr>
          <w:rFonts w:cs="Times New Roman"/>
          <w:bCs/>
          <w:iCs/>
          <w:szCs w:val="20"/>
        </w:rPr>
        <w:t xml:space="preserve">AI-Driven Supply Chain Integration has </w:t>
      </w:r>
      <w:r>
        <w:rPr>
          <w:rFonts w:cs="Times New Roman"/>
          <w:bCs/>
          <w:iCs/>
          <w:szCs w:val="20"/>
        </w:rPr>
        <w:t xml:space="preserve">a </w:t>
      </w:r>
      <w:r w:rsidRPr="00790B43">
        <w:rPr>
          <w:rFonts w:cs="Times New Roman"/>
          <w:bCs/>
          <w:iCs/>
          <w:szCs w:val="20"/>
        </w:rPr>
        <w:t xml:space="preserve">positive direct impact on Environmental </w:t>
      </w:r>
      <w:r>
        <w:rPr>
          <w:rFonts w:cs="Times New Roman"/>
          <w:bCs/>
          <w:iCs/>
          <w:szCs w:val="20"/>
        </w:rPr>
        <w:t>Sustainability in</w:t>
      </w:r>
      <w:r w:rsidRPr="00790B43">
        <w:rPr>
          <w:rFonts w:cs="Times New Roman"/>
          <w:bCs/>
          <w:iCs/>
          <w:szCs w:val="20"/>
        </w:rPr>
        <w:t xml:space="preserve"> RMG.</w:t>
      </w:r>
    </w:p>
    <w:p w14:paraId="17BAFF40" w14:textId="77777777" w:rsidR="00790B43" w:rsidRDefault="00790B43" w:rsidP="00790B43">
      <w:pPr>
        <w:rPr>
          <w:rFonts w:cs="Times New Roman"/>
          <w:bCs/>
          <w:szCs w:val="20"/>
        </w:rPr>
      </w:pPr>
    </w:p>
    <w:p w14:paraId="540C63EE" w14:textId="629AA4B8" w:rsidR="00424237" w:rsidRDefault="00790B43" w:rsidP="00790B43">
      <w:pPr>
        <w:rPr>
          <w:rFonts w:cs="Times New Roman"/>
          <w:bCs/>
          <w:szCs w:val="20"/>
        </w:rPr>
      </w:pPr>
      <w:r w:rsidRPr="00120553">
        <w:rPr>
          <w:rFonts w:cs="Times New Roman"/>
          <w:bCs/>
          <w:szCs w:val="20"/>
        </w:rPr>
        <w:t xml:space="preserve">The integration of AI has been found to have a significant impact </w:t>
      </w:r>
      <w:r>
        <w:rPr>
          <w:rFonts w:cs="Times New Roman"/>
          <w:bCs/>
          <w:szCs w:val="20"/>
        </w:rPr>
        <w:t xml:space="preserve">on </w:t>
      </w:r>
      <w:r w:rsidR="001C03F4">
        <w:rPr>
          <w:rFonts w:cs="Times New Roman"/>
          <w:bCs/>
          <w:szCs w:val="20"/>
        </w:rPr>
        <w:t>a firm's technological readiness, based primarily on empirical evidence from</w:t>
      </w:r>
      <w:r w:rsidRPr="00120553">
        <w:rPr>
          <w:rFonts w:cs="Times New Roman"/>
          <w:bCs/>
          <w:szCs w:val="20"/>
        </w:rPr>
        <w:t xml:space="preserve"> academic literature. The implementation of AI applications requires new and up-to-date digital infrastructure and competence, creating a climate where innovation can grow </w:t>
      </w:r>
      <w:r w:rsidR="0036280F">
        <w:rPr>
          <w:rFonts w:cs="Times New Roman"/>
          <w:bCs/>
          <w:szCs w:val="20"/>
        </w:rPr>
        <w:t>[20]</w:t>
      </w:r>
      <w:r w:rsidRPr="00120553">
        <w:rPr>
          <w:rFonts w:cs="Times New Roman"/>
          <w:bCs/>
          <w:szCs w:val="20"/>
        </w:rPr>
        <w:t>.</w:t>
      </w:r>
    </w:p>
    <w:p w14:paraId="31125446" w14:textId="77777777" w:rsidR="00424237" w:rsidRDefault="00424237" w:rsidP="00790B43">
      <w:pPr>
        <w:rPr>
          <w:rFonts w:cs="Times New Roman"/>
          <w:bCs/>
          <w:szCs w:val="20"/>
        </w:rPr>
      </w:pPr>
    </w:p>
    <w:p w14:paraId="7BDF034D" w14:textId="73295B6C" w:rsidR="00790B43" w:rsidRPr="00120553" w:rsidRDefault="00790B43" w:rsidP="00790B43">
      <w:pPr>
        <w:rPr>
          <w:rFonts w:cs="Times New Roman"/>
          <w:bCs/>
          <w:szCs w:val="20"/>
        </w:rPr>
      </w:pPr>
      <w:r w:rsidRPr="00120553">
        <w:rPr>
          <w:rFonts w:cs="Times New Roman"/>
          <w:bCs/>
          <w:szCs w:val="20"/>
        </w:rPr>
        <w:t xml:space="preserve"> Firms </w:t>
      </w:r>
      <w:r>
        <w:rPr>
          <w:rFonts w:cs="Times New Roman"/>
          <w:bCs/>
          <w:szCs w:val="20"/>
        </w:rPr>
        <w:t>that</w:t>
      </w:r>
      <w:r w:rsidRPr="00120553">
        <w:rPr>
          <w:rFonts w:cs="Times New Roman"/>
          <w:bCs/>
          <w:szCs w:val="20"/>
        </w:rPr>
        <w:t xml:space="preserve"> successfully adopt AI in their supply chains typically tend to be </w:t>
      </w:r>
      <w:r>
        <w:rPr>
          <w:rFonts w:cs="Times New Roman"/>
          <w:bCs/>
          <w:szCs w:val="20"/>
        </w:rPr>
        <w:t>more ready</w:t>
      </w:r>
      <w:r w:rsidRPr="00120553">
        <w:rPr>
          <w:rFonts w:cs="Times New Roman"/>
          <w:bCs/>
          <w:szCs w:val="20"/>
        </w:rPr>
        <w:t xml:space="preserve"> to adopt other </w:t>
      </w:r>
      <w:r>
        <w:rPr>
          <w:rFonts w:cs="Times New Roman"/>
          <w:bCs/>
          <w:szCs w:val="20"/>
        </w:rPr>
        <w:t>new technologies</w:t>
      </w:r>
      <w:r w:rsidRPr="00120553">
        <w:rPr>
          <w:rFonts w:cs="Times New Roman"/>
          <w:bCs/>
          <w:szCs w:val="20"/>
        </w:rPr>
        <w:t xml:space="preserve">, resulting in a positive and self-reinforcing cycle of technological adoption </w:t>
      </w:r>
      <w:r w:rsidR="0036280F">
        <w:rPr>
          <w:rFonts w:cs="Times New Roman"/>
          <w:bCs/>
          <w:szCs w:val="20"/>
        </w:rPr>
        <w:t>[21]</w:t>
      </w:r>
      <w:r w:rsidRPr="00120553">
        <w:rPr>
          <w:rFonts w:cs="Times New Roman"/>
          <w:bCs/>
          <w:szCs w:val="20"/>
        </w:rPr>
        <w:t xml:space="preserve">. This preparation is crucial for companies </w:t>
      </w:r>
      <w:r>
        <w:rPr>
          <w:rFonts w:cs="Times New Roman"/>
          <w:bCs/>
          <w:szCs w:val="20"/>
        </w:rPr>
        <w:t>seeking to</w:t>
      </w:r>
      <w:r w:rsidRPr="00120553">
        <w:rPr>
          <w:rFonts w:cs="Times New Roman"/>
          <w:bCs/>
          <w:szCs w:val="20"/>
        </w:rPr>
        <w:t xml:space="preserve"> </w:t>
      </w:r>
      <w:r w:rsidR="00342DD7">
        <w:rPr>
          <w:rFonts w:cs="Times New Roman"/>
          <w:bCs/>
          <w:szCs w:val="20"/>
        </w:rPr>
        <w:t xml:space="preserve">maintain their edge in rapidly </w:t>
      </w:r>
      <w:r w:rsidRPr="00120553">
        <w:rPr>
          <w:rFonts w:cs="Times New Roman"/>
          <w:bCs/>
          <w:szCs w:val="20"/>
        </w:rPr>
        <w:t>changing markets.</w:t>
      </w:r>
    </w:p>
    <w:p w14:paraId="358EA4FF" w14:textId="77777777" w:rsidR="00790B43" w:rsidRDefault="00790B43" w:rsidP="00790B43">
      <w:pPr>
        <w:rPr>
          <w:rFonts w:cs="Times New Roman"/>
          <w:b/>
          <w:bCs/>
          <w:szCs w:val="20"/>
        </w:rPr>
      </w:pPr>
    </w:p>
    <w:p w14:paraId="3C5CA693" w14:textId="15935663" w:rsidR="00790B43" w:rsidRPr="00120553" w:rsidRDefault="00790B43" w:rsidP="00790B43">
      <w:pPr>
        <w:rPr>
          <w:rFonts w:cs="Times New Roman"/>
          <w:bCs/>
          <w:szCs w:val="20"/>
        </w:rPr>
      </w:pPr>
      <w:r w:rsidRPr="00120553">
        <w:rPr>
          <w:rFonts w:cs="Times New Roman"/>
          <w:b/>
          <w:bCs/>
          <w:szCs w:val="20"/>
        </w:rPr>
        <w:t>H2:</w:t>
      </w:r>
      <w:r w:rsidRPr="00120553">
        <w:rPr>
          <w:rFonts w:cs="Times New Roman"/>
          <w:bCs/>
          <w:szCs w:val="20"/>
        </w:rPr>
        <w:t xml:space="preserve"> </w:t>
      </w:r>
      <w:r w:rsidRPr="00790B43">
        <w:rPr>
          <w:rFonts w:cs="Times New Roman"/>
          <w:bCs/>
          <w:iCs/>
          <w:szCs w:val="20"/>
        </w:rPr>
        <w:t xml:space="preserve">Supply Chain </w:t>
      </w:r>
      <w:r>
        <w:rPr>
          <w:rFonts w:cs="Times New Roman"/>
          <w:bCs/>
          <w:iCs/>
          <w:szCs w:val="20"/>
        </w:rPr>
        <w:t>Integration with</w:t>
      </w:r>
      <w:r w:rsidRPr="00790B43">
        <w:rPr>
          <w:rFonts w:cs="Times New Roman"/>
          <w:bCs/>
          <w:iCs/>
          <w:szCs w:val="20"/>
        </w:rPr>
        <w:t xml:space="preserve"> AI has a direct positive influence on Technological Readiness.</w:t>
      </w:r>
    </w:p>
    <w:p w14:paraId="496F2A5F" w14:textId="77777777" w:rsidR="00790B43" w:rsidRDefault="00790B43" w:rsidP="00790B43">
      <w:pPr>
        <w:rPr>
          <w:rFonts w:cs="Times New Roman"/>
          <w:bCs/>
          <w:szCs w:val="20"/>
        </w:rPr>
      </w:pPr>
    </w:p>
    <w:p w14:paraId="26498CD8" w14:textId="69A310FC" w:rsidR="00424237" w:rsidRDefault="00790B43" w:rsidP="00790B43">
      <w:pPr>
        <w:rPr>
          <w:rFonts w:cs="Times New Roman"/>
          <w:bCs/>
          <w:szCs w:val="20"/>
        </w:rPr>
      </w:pPr>
      <w:r w:rsidRPr="00120553">
        <w:rPr>
          <w:rFonts w:cs="Times New Roman"/>
          <w:bCs/>
          <w:szCs w:val="20"/>
        </w:rPr>
        <w:t xml:space="preserve">It </w:t>
      </w:r>
      <w:r w:rsidR="00342DD7">
        <w:rPr>
          <w:rFonts w:cs="Times New Roman"/>
          <w:bCs/>
          <w:szCs w:val="20"/>
        </w:rPr>
        <w:t xml:space="preserve">reached this conclusion, even though it has demonstrated that the integration of AI helps </w:t>
      </w:r>
      <w:r w:rsidRPr="00120553">
        <w:rPr>
          <w:rFonts w:cs="Times New Roman"/>
          <w:bCs/>
          <w:szCs w:val="20"/>
        </w:rPr>
        <w:t xml:space="preserve">increase supply chain agility </w:t>
      </w:r>
      <w:r w:rsidR="0036280F">
        <w:rPr>
          <w:rFonts w:cs="Times New Roman"/>
          <w:bCs/>
          <w:szCs w:val="20"/>
        </w:rPr>
        <w:t>by making</w:t>
      </w:r>
      <w:r w:rsidRPr="00120553">
        <w:rPr>
          <w:rFonts w:cs="Times New Roman"/>
          <w:bCs/>
          <w:szCs w:val="20"/>
        </w:rPr>
        <w:t xml:space="preserve"> decisions quicker and more effectively. The </w:t>
      </w:r>
      <w:r w:rsidR="00342DD7">
        <w:rPr>
          <w:rFonts w:cs="Times New Roman"/>
          <w:bCs/>
          <w:szCs w:val="20"/>
        </w:rPr>
        <w:t>ability to manage large volumes of information in real-time enables organizations to respond</w:t>
      </w:r>
      <w:r w:rsidRPr="00120553">
        <w:rPr>
          <w:rFonts w:cs="Times New Roman"/>
          <w:bCs/>
          <w:szCs w:val="20"/>
        </w:rPr>
        <w:t xml:space="preserve"> promptly to market shifts and disturbances </w:t>
      </w:r>
      <w:r w:rsidR="00424237">
        <w:rPr>
          <w:rFonts w:cs="Times New Roman"/>
          <w:bCs/>
          <w:szCs w:val="20"/>
        </w:rPr>
        <w:t xml:space="preserve">[21]. </w:t>
      </w:r>
    </w:p>
    <w:p w14:paraId="7EFCC2DF" w14:textId="77777777" w:rsidR="00424237" w:rsidRDefault="00424237" w:rsidP="00790B43">
      <w:pPr>
        <w:rPr>
          <w:rFonts w:cs="Times New Roman"/>
          <w:bCs/>
          <w:szCs w:val="20"/>
        </w:rPr>
      </w:pPr>
    </w:p>
    <w:p w14:paraId="48B9579A" w14:textId="70365CBC" w:rsidR="00790B43" w:rsidRPr="00120553" w:rsidRDefault="00790B43" w:rsidP="00790B43">
      <w:pPr>
        <w:rPr>
          <w:rFonts w:cs="Times New Roman"/>
          <w:bCs/>
          <w:szCs w:val="20"/>
        </w:rPr>
      </w:pPr>
      <w:r w:rsidRPr="00120553">
        <w:rPr>
          <w:rFonts w:cs="Times New Roman"/>
          <w:bCs/>
          <w:szCs w:val="20"/>
        </w:rPr>
        <w:t xml:space="preserve">It has been reported that the application of AI in supply chain management enables companies to predict </w:t>
      </w:r>
      <w:r w:rsidR="00342DD7">
        <w:rPr>
          <w:rFonts w:cs="Times New Roman"/>
          <w:bCs/>
          <w:szCs w:val="20"/>
        </w:rPr>
        <w:t>demand variations and plan, accordingly, thereby</w:t>
      </w:r>
      <w:r w:rsidRPr="00120553">
        <w:rPr>
          <w:rFonts w:cs="Times New Roman"/>
          <w:bCs/>
          <w:szCs w:val="20"/>
        </w:rPr>
        <w:t xml:space="preserve"> enhancing flexibility and speed </w:t>
      </w:r>
      <w:r w:rsidR="00B05364">
        <w:rPr>
          <w:rFonts w:cs="Times New Roman"/>
          <w:bCs/>
          <w:szCs w:val="20"/>
        </w:rPr>
        <w:t>[22]</w:t>
      </w:r>
      <w:r w:rsidRPr="00120553">
        <w:rPr>
          <w:rFonts w:cs="Times New Roman"/>
          <w:bCs/>
          <w:szCs w:val="20"/>
        </w:rPr>
        <w:t xml:space="preserve">. In </w:t>
      </w:r>
      <w:r w:rsidR="0036280F">
        <w:rPr>
          <w:rFonts w:cs="Times New Roman"/>
          <w:bCs/>
          <w:szCs w:val="20"/>
        </w:rPr>
        <w:t xml:space="preserve">the </w:t>
      </w:r>
      <w:r w:rsidRPr="00120553">
        <w:rPr>
          <w:rFonts w:cs="Times New Roman"/>
          <w:bCs/>
          <w:szCs w:val="20"/>
        </w:rPr>
        <w:t xml:space="preserve">22nd century, as most supply chain operations contend with various business threats, </w:t>
      </w:r>
      <w:r w:rsidR="00342DD7">
        <w:rPr>
          <w:rFonts w:cs="Times New Roman"/>
          <w:bCs/>
          <w:szCs w:val="20"/>
        </w:rPr>
        <w:t xml:space="preserve">ranging from geopolitical tensions to global pandemics (Chukwu, </w:t>
      </w:r>
      <w:r w:rsidRPr="00120553">
        <w:rPr>
          <w:rFonts w:cs="Times New Roman"/>
          <w:bCs/>
          <w:szCs w:val="20"/>
        </w:rPr>
        <w:t> </w:t>
      </w:r>
      <w:r w:rsidRPr="00120553">
        <w:rPr>
          <w:rFonts w:cs="Times New Roman"/>
          <w:bCs/>
          <w:szCs w:val="20"/>
        </w:rPr>
        <w:t>2024), this nimbleness is crucial.</w:t>
      </w:r>
    </w:p>
    <w:p w14:paraId="096287AA" w14:textId="77777777" w:rsidR="00790B43" w:rsidRDefault="00790B43" w:rsidP="00790B43">
      <w:pPr>
        <w:rPr>
          <w:rFonts w:cs="Times New Roman"/>
          <w:b/>
          <w:bCs/>
          <w:szCs w:val="20"/>
        </w:rPr>
      </w:pPr>
    </w:p>
    <w:p w14:paraId="23FB3AA2" w14:textId="58B02916" w:rsidR="00790B43" w:rsidRPr="00120553" w:rsidRDefault="00790B43" w:rsidP="00790B43">
      <w:pPr>
        <w:rPr>
          <w:rFonts w:cs="Times New Roman"/>
          <w:b/>
          <w:bCs/>
          <w:szCs w:val="20"/>
        </w:rPr>
      </w:pPr>
      <w:r w:rsidRPr="00120553">
        <w:rPr>
          <w:rFonts w:cs="Times New Roman"/>
          <w:b/>
          <w:bCs/>
          <w:szCs w:val="20"/>
        </w:rPr>
        <w:t xml:space="preserve">H3: </w:t>
      </w:r>
      <w:r w:rsidR="00342DD7">
        <w:rPr>
          <w:rFonts w:cs="Times New Roman"/>
          <w:bCs/>
          <w:iCs/>
          <w:szCs w:val="20"/>
        </w:rPr>
        <w:t>AI-driven supply chain integration has a significant,</w:t>
      </w:r>
      <w:r w:rsidRPr="00790B43">
        <w:rPr>
          <w:rFonts w:cs="Times New Roman"/>
          <w:bCs/>
          <w:iCs/>
          <w:szCs w:val="20"/>
        </w:rPr>
        <w:t xml:space="preserve"> </w:t>
      </w:r>
      <w:r>
        <w:rPr>
          <w:rFonts w:cs="Times New Roman"/>
          <w:bCs/>
          <w:iCs/>
          <w:szCs w:val="20"/>
        </w:rPr>
        <w:t>positive direct</w:t>
      </w:r>
      <w:r w:rsidRPr="00790B43">
        <w:rPr>
          <w:rFonts w:cs="Times New Roman"/>
          <w:bCs/>
          <w:iCs/>
          <w:szCs w:val="20"/>
        </w:rPr>
        <w:t xml:space="preserve"> effect on Supply Chain Agility.</w:t>
      </w:r>
    </w:p>
    <w:p w14:paraId="78052354" w14:textId="77777777" w:rsidR="00790B43" w:rsidRDefault="00790B43" w:rsidP="00790B43">
      <w:pPr>
        <w:rPr>
          <w:rFonts w:cs="Times New Roman"/>
          <w:bCs/>
          <w:szCs w:val="20"/>
        </w:rPr>
      </w:pPr>
    </w:p>
    <w:p w14:paraId="78293C7B" w14:textId="0F7FAFA0" w:rsidR="00790B43" w:rsidRPr="00120553" w:rsidRDefault="00790B43" w:rsidP="00790B43">
      <w:pPr>
        <w:rPr>
          <w:rFonts w:cs="Times New Roman"/>
          <w:bCs/>
          <w:szCs w:val="20"/>
        </w:rPr>
      </w:pPr>
      <w:r w:rsidRPr="00120553">
        <w:rPr>
          <w:rFonts w:cs="Times New Roman"/>
          <w:bCs/>
          <w:szCs w:val="20"/>
        </w:rPr>
        <w:t xml:space="preserve">To sum up, ACV </w:t>
      </w:r>
      <w:r>
        <w:rPr>
          <w:rFonts w:cs="Times New Roman"/>
          <w:bCs/>
          <w:szCs w:val="20"/>
        </w:rPr>
        <w:t>ACV-driven</w:t>
      </w:r>
      <w:r w:rsidRPr="00120553">
        <w:rPr>
          <w:rFonts w:cs="Times New Roman"/>
          <w:bCs/>
          <w:szCs w:val="20"/>
        </w:rPr>
        <w:t xml:space="preserve"> supply chain integration is composed </w:t>
      </w:r>
      <w:r>
        <w:rPr>
          <w:rFonts w:cs="Times New Roman"/>
          <w:bCs/>
          <w:szCs w:val="20"/>
        </w:rPr>
        <w:t>of different</w:t>
      </w:r>
      <w:r w:rsidRPr="00120553">
        <w:rPr>
          <w:rFonts w:cs="Times New Roman"/>
          <w:bCs/>
          <w:szCs w:val="20"/>
        </w:rPr>
        <w:t xml:space="preserve"> elements to facilitate operational efficiency and environmental sustainability. The empirical results provide support for the proposed hypotheses, which suggest that AI integration </w:t>
      </w:r>
      <w:r>
        <w:rPr>
          <w:rFonts w:cs="Times New Roman"/>
          <w:bCs/>
          <w:szCs w:val="20"/>
        </w:rPr>
        <w:t>has a</w:t>
      </w:r>
      <w:r w:rsidRPr="00120553">
        <w:rPr>
          <w:rFonts w:cs="Times New Roman"/>
          <w:bCs/>
          <w:szCs w:val="20"/>
        </w:rPr>
        <w:t xml:space="preserve"> positive impact on environmental sustainability and technological readiness, as well as a significantly positive effect on supply chain agility.</w:t>
      </w:r>
    </w:p>
    <w:p w14:paraId="61023B55" w14:textId="77777777" w:rsidR="00790B43" w:rsidRDefault="00790B43" w:rsidP="00790B43">
      <w:pPr>
        <w:rPr>
          <w:rFonts w:cs="Times New Roman"/>
          <w:b/>
          <w:bCs/>
          <w:szCs w:val="20"/>
        </w:rPr>
      </w:pPr>
    </w:p>
    <w:p w14:paraId="673AA655" w14:textId="77777777" w:rsidR="00B071D6" w:rsidRDefault="00B071D6" w:rsidP="00790B43">
      <w:pPr>
        <w:rPr>
          <w:rFonts w:cs="Times New Roman"/>
          <w:b/>
          <w:bCs/>
          <w:szCs w:val="20"/>
        </w:rPr>
      </w:pPr>
    </w:p>
    <w:p w14:paraId="2DAB2770" w14:textId="77777777" w:rsidR="00790B43" w:rsidRPr="00790B43" w:rsidRDefault="00790B43" w:rsidP="00790B43">
      <w:pPr>
        <w:rPr>
          <w:rFonts w:cs="Times New Roman"/>
          <w:b/>
          <w:bCs/>
          <w:iCs/>
          <w:color w:val="C45911" w:themeColor="accent2" w:themeShade="BF"/>
          <w:szCs w:val="20"/>
        </w:rPr>
      </w:pPr>
      <w:r w:rsidRPr="00790B43">
        <w:rPr>
          <w:rFonts w:cs="Times New Roman"/>
          <w:b/>
          <w:bCs/>
          <w:iCs/>
          <w:color w:val="C45911" w:themeColor="accent2" w:themeShade="BF"/>
          <w:szCs w:val="20"/>
        </w:rPr>
        <w:t>2.3 Technological Readiness</w:t>
      </w:r>
    </w:p>
    <w:p w14:paraId="1A14BB52" w14:textId="34E30FC8" w:rsidR="00790B43" w:rsidRPr="00120553" w:rsidRDefault="00790B43" w:rsidP="00790B43">
      <w:pPr>
        <w:rPr>
          <w:rFonts w:cs="Times New Roman"/>
          <w:b/>
          <w:bCs/>
          <w:i/>
          <w:color w:val="C45911" w:themeColor="accent2" w:themeShade="BF"/>
          <w:szCs w:val="20"/>
        </w:rPr>
      </w:pPr>
      <w:r w:rsidRPr="00120553">
        <w:rPr>
          <w:szCs w:val="20"/>
        </w:rPr>
        <w:t xml:space="preserve">Technological readiness is </w:t>
      </w:r>
      <w:r>
        <w:rPr>
          <w:szCs w:val="20"/>
        </w:rPr>
        <w:t>an important</w:t>
      </w:r>
      <w:r w:rsidRPr="00120553">
        <w:rPr>
          <w:szCs w:val="20"/>
        </w:rPr>
        <w:t xml:space="preserve"> concept within the context of digital transformation and SCM. </w:t>
      </w:r>
      <w:r>
        <w:rPr>
          <w:szCs w:val="20"/>
        </w:rPr>
        <w:t>An organization can</w:t>
      </w:r>
      <w:r w:rsidRPr="00120553">
        <w:rPr>
          <w:szCs w:val="20"/>
        </w:rPr>
        <w:t xml:space="preserve"> accept and utilize new technology adequately and efficiently</w:t>
      </w:r>
      <w:r>
        <w:rPr>
          <w:szCs w:val="20"/>
        </w:rPr>
        <w:t>,</w:t>
      </w:r>
      <w:r w:rsidRPr="00120553">
        <w:rPr>
          <w:szCs w:val="20"/>
        </w:rPr>
        <w:t xml:space="preserve"> which handling change leads to digital sonority. Singh and Patel (2023)</w:t>
      </w:r>
      <w:r w:rsidRPr="00120553">
        <w:rPr>
          <w:szCs w:val="20"/>
        </w:rPr>
        <w:t> </w:t>
      </w:r>
      <w:r w:rsidRPr="00120553">
        <w:rPr>
          <w:szCs w:val="20"/>
        </w:rPr>
        <w:t xml:space="preserve">emphasize that technological </w:t>
      </w:r>
      <w:r>
        <w:rPr>
          <w:szCs w:val="20"/>
        </w:rPr>
        <w:t>readiness</w:t>
      </w:r>
      <w:r w:rsidRPr="00120553">
        <w:rPr>
          <w:szCs w:val="20"/>
        </w:rPr>
        <w:t xml:space="preserve"> is not limited to technology availability, but also includes an organizational culture, skills</w:t>
      </w:r>
      <w:r>
        <w:rPr>
          <w:szCs w:val="20"/>
        </w:rPr>
        <w:t>,</w:t>
      </w:r>
      <w:r w:rsidRPr="00120553">
        <w:rPr>
          <w:szCs w:val="20"/>
        </w:rPr>
        <w:t xml:space="preserve"> and mindset required for effective usage. Such preparedness is of particular importance in SCM because the application of digital technologies can bring about increased efficiency, flexibility</w:t>
      </w:r>
      <w:r>
        <w:rPr>
          <w:szCs w:val="20"/>
        </w:rPr>
        <w:t>,</w:t>
      </w:r>
      <w:r w:rsidRPr="00120553">
        <w:rPr>
          <w:szCs w:val="20"/>
        </w:rPr>
        <w:t xml:space="preserve"> </w:t>
      </w:r>
      <w:r>
        <w:rPr>
          <w:szCs w:val="20"/>
        </w:rPr>
        <w:t>and competitiveness</w:t>
      </w:r>
      <w:r w:rsidRPr="00120553">
        <w:rPr>
          <w:szCs w:val="20"/>
        </w:rPr>
        <w:t xml:space="preserve"> </w:t>
      </w:r>
      <w:r w:rsidR="00B05364">
        <w:rPr>
          <w:szCs w:val="20"/>
        </w:rPr>
        <w:t>[23]</w:t>
      </w:r>
      <w:r w:rsidRPr="00120553">
        <w:rPr>
          <w:szCs w:val="20"/>
        </w:rPr>
        <w:t>.</w:t>
      </w:r>
    </w:p>
    <w:p w14:paraId="6AAAD5EF" w14:textId="77777777" w:rsidR="00424237"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It has been empirically evidenced that technological preparedness is significantly </w:t>
      </w:r>
      <w:r>
        <w:rPr>
          <w:rFonts w:ascii="Book Antiqua" w:hAnsi="Book Antiqua"/>
          <w:sz w:val="20"/>
          <w:szCs w:val="20"/>
        </w:rPr>
        <w:t>correlated with</w:t>
      </w:r>
      <w:r w:rsidRPr="00120553">
        <w:rPr>
          <w:rFonts w:ascii="Book Antiqua" w:hAnsi="Book Antiqua"/>
          <w:sz w:val="20"/>
          <w:szCs w:val="20"/>
        </w:rPr>
        <w:t xml:space="preserve"> successful technology use in the context of SCM. According to Khan and Rahman (2023), firms with high technological readiness </w:t>
      </w:r>
      <w:r>
        <w:rPr>
          <w:rFonts w:ascii="Book Antiqua" w:hAnsi="Book Antiqua"/>
          <w:sz w:val="20"/>
          <w:szCs w:val="20"/>
        </w:rPr>
        <w:t>are significantly</w:t>
      </w:r>
      <w:r w:rsidRPr="00120553">
        <w:rPr>
          <w:rFonts w:ascii="Book Antiqua" w:hAnsi="Book Antiqua"/>
          <w:sz w:val="20"/>
          <w:szCs w:val="20"/>
        </w:rPr>
        <w:t xml:space="preserve"> more likely to embrace advanced technologies such as AI and big data analytics, and this may help them improve the efficiency of supply chain operations.</w:t>
      </w:r>
    </w:p>
    <w:p w14:paraId="28630525" w14:textId="3D6F6F48" w:rsidR="00790B43" w:rsidRPr="00120553"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 According to their findings, organizations that </w:t>
      </w:r>
      <w:r>
        <w:rPr>
          <w:rFonts w:ascii="Book Antiqua" w:hAnsi="Book Antiqua"/>
          <w:sz w:val="20"/>
          <w:szCs w:val="20"/>
        </w:rPr>
        <w:t>persist in</w:t>
      </w:r>
      <w:r w:rsidRPr="00120553">
        <w:rPr>
          <w:rFonts w:ascii="Book Antiqua" w:hAnsi="Book Antiqua"/>
          <w:sz w:val="20"/>
          <w:szCs w:val="20"/>
        </w:rPr>
        <w:t xml:space="preserve"> cultivating their technological capabilities enjoy significant gains in </w:t>
      </w:r>
      <w:r>
        <w:rPr>
          <w:rFonts w:ascii="Book Antiqua" w:hAnsi="Book Antiqua"/>
          <w:sz w:val="20"/>
          <w:szCs w:val="20"/>
        </w:rPr>
        <w:t>operational</w:t>
      </w:r>
      <w:r w:rsidRPr="00120553">
        <w:rPr>
          <w:rFonts w:ascii="Book Antiqua" w:hAnsi="Book Antiqua"/>
          <w:sz w:val="20"/>
          <w:szCs w:val="20"/>
        </w:rPr>
        <w:t xml:space="preserve"> performance and customer satisfaction </w:t>
      </w:r>
      <w:r w:rsidR="00424237">
        <w:rPr>
          <w:rFonts w:ascii="Book Antiqua" w:hAnsi="Book Antiqua"/>
          <w:sz w:val="20"/>
          <w:szCs w:val="20"/>
        </w:rPr>
        <w:t>[22]</w:t>
      </w:r>
      <w:r w:rsidRPr="00120553">
        <w:rPr>
          <w:rFonts w:ascii="Book Antiqua" w:hAnsi="Book Antiqua"/>
          <w:sz w:val="20"/>
          <w:szCs w:val="20"/>
        </w:rPr>
        <w:t xml:space="preserve">. Moreover, the technological readiness has a strong relationship with the proactive change management that </w:t>
      </w:r>
      <w:r>
        <w:rPr>
          <w:rFonts w:ascii="Book Antiqua" w:hAnsi="Book Antiqua"/>
          <w:sz w:val="20"/>
          <w:szCs w:val="20"/>
        </w:rPr>
        <w:t>can make</w:t>
      </w:r>
      <w:r w:rsidRPr="00120553">
        <w:rPr>
          <w:rFonts w:ascii="Book Antiqua" w:hAnsi="Book Antiqua"/>
          <w:sz w:val="20"/>
          <w:szCs w:val="20"/>
        </w:rPr>
        <w:t xml:space="preserve"> the transitions within </w:t>
      </w:r>
      <w:r>
        <w:rPr>
          <w:rFonts w:ascii="Book Antiqua" w:hAnsi="Book Antiqua"/>
          <w:sz w:val="20"/>
          <w:szCs w:val="20"/>
        </w:rPr>
        <w:t xml:space="preserve">the </w:t>
      </w:r>
      <w:r w:rsidRPr="00120553">
        <w:rPr>
          <w:rFonts w:ascii="Book Antiqua" w:hAnsi="Book Antiqua"/>
          <w:sz w:val="20"/>
          <w:szCs w:val="20"/>
        </w:rPr>
        <w:t xml:space="preserve">technology adoption process for new system implementation in organizations easier </w:t>
      </w:r>
      <w:r w:rsidR="00B05364">
        <w:rPr>
          <w:rFonts w:ascii="Book Antiqua" w:hAnsi="Book Antiqua"/>
          <w:sz w:val="20"/>
          <w:szCs w:val="20"/>
        </w:rPr>
        <w:t>[24]</w:t>
      </w:r>
      <w:r w:rsidRPr="00120553">
        <w:rPr>
          <w:rFonts w:ascii="Book Antiqua" w:hAnsi="Book Antiqua"/>
          <w:sz w:val="20"/>
          <w:szCs w:val="20"/>
        </w:rPr>
        <w:t>.</w:t>
      </w:r>
    </w:p>
    <w:p w14:paraId="5383E774" w14:textId="77777777" w:rsidR="00424237"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On the direct effect of technological readiness towards environmental sustainability, the literature corroborates that </w:t>
      </w:r>
      <w:r>
        <w:rPr>
          <w:rFonts w:ascii="Book Antiqua" w:hAnsi="Book Antiqua"/>
          <w:sz w:val="20"/>
          <w:szCs w:val="20"/>
        </w:rPr>
        <w:t>businesses with</w:t>
      </w:r>
      <w:r w:rsidRPr="00120553">
        <w:rPr>
          <w:rFonts w:ascii="Book Antiqua" w:hAnsi="Book Antiqua"/>
          <w:sz w:val="20"/>
          <w:szCs w:val="20"/>
        </w:rPr>
        <w:t xml:space="preserve"> greater technological readiness have greater potential to adopt sustainable actions. Technological preparedness allows companies to embrace green technologies and applications</w:t>
      </w:r>
      <w:r>
        <w:rPr>
          <w:rFonts w:ascii="Book Antiqua" w:hAnsi="Book Antiqua"/>
          <w:sz w:val="20"/>
          <w:szCs w:val="20"/>
        </w:rPr>
        <w:t xml:space="preserve"> </w:t>
      </w:r>
      <w:r w:rsidRPr="00120553">
        <w:rPr>
          <w:rFonts w:ascii="Book Antiqua" w:hAnsi="Book Antiqua"/>
          <w:sz w:val="20"/>
          <w:szCs w:val="20"/>
        </w:rPr>
        <w:t> </w:t>
      </w:r>
      <w:r w:rsidRPr="00120553">
        <w:rPr>
          <w:rFonts w:ascii="Book Antiqua" w:hAnsi="Book Antiqua"/>
          <w:sz w:val="20"/>
          <w:szCs w:val="20"/>
        </w:rPr>
        <w:t xml:space="preserve">and to reduce their pollution. </w:t>
      </w:r>
    </w:p>
    <w:p w14:paraId="79C91370" w14:textId="06532B2E" w:rsidR="00790B43" w:rsidRPr="00120553"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For example, </w:t>
      </w:r>
      <w:proofErr w:type="spellStart"/>
      <w:r w:rsidRPr="00120553">
        <w:rPr>
          <w:rFonts w:ascii="Book Antiqua" w:hAnsi="Book Antiqua"/>
          <w:sz w:val="20"/>
          <w:szCs w:val="20"/>
        </w:rPr>
        <w:t>Azieva</w:t>
      </w:r>
      <w:proofErr w:type="spellEnd"/>
      <w:r w:rsidRPr="00120553">
        <w:rPr>
          <w:rFonts w:ascii="Book Antiqua" w:hAnsi="Book Antiqua"/>
          <w:sz w:val="20"/>
          <w:szCs w:val="20"/>
        </w:rPr>
        <w:t xml:space="preserve"> (2021) claims that firms </w:t>
      </w:r>
      <w:r>
        <w:rPr>
          <w:rFonts w:ascii="Book Antiqua" w:hAnsi="Book Antiqua"/>
          <w:sz w:val="20"/>
          <w:szCs w:val="20"/>
        </w:rPr>
        <w:t>that</w:t>
      </w:r>
      <w:r w:rsidRPr="00120553">
        <w:rPr>
          <w:rFonts w:ascii="Book Antiqua" w:hAnsi="Book Antiqua"/>
          <w:sz w:val="20"/>
          <w:szCs w:val="20"/>
        </w:rPr>
        <w:t xml:space="preserve"> are prepared </w:t>
      </w:r>
      <w:r>
        <w:rPr>
          <w:rFonts w:ascii="Book Antiqua" w:hAnsi="Book Antiqua"/>
          <w:sz w:val="20"/>
          <w:szCs w:val="20"/>
        </w:rPr>
        <w:t>to adopt</w:t>
      </w:r>
      <w:r w:rsidRPr="00120553">
        <w:rPr>
          <w:rFonts w:ascii="Book Antiqua" w:hAnsi="Book Antiqua"/>
          <w:sz w:val="20"/>
          <w:szCs w:val="20"/>
        </w:rPr>
        <w:t xml:space="preserve"> digital transformation may use technology to improve sustainability using these tools</w:t>
      </w:r>
      <w:r>
        <w:rPr>
          <w:rFonts w:ascii="Book Antiqua" w:hAnsi="Book Antiqua"/>
          <w:sz w:val="20"/>
          <w:szCs w:val="20"/>
        </w:rPr>
        <w:t>,</w:t>
      </w:r>
      <w:r w:rsidRPr="00120553">
        <w:rPr>
          <w:rFonts w:ascii="Book Antiqua" w:hAnsi="Book Antiqua"/>
          <w:sz w:val="20"/>
          <w:szCs w:val="20"/>
        </w:rPr>
        <w:t xml:space="preserve"> such as, for </w:t>
      </w:r>
      <w:r>
        <w:rPr>
          <w:rFonts w:ascii="Book Antiqua" w:hAnsi="Book Antiqua"/>
          <w:sz w:val="20"/>
          <w:szCs w:val="20"/>
        </w:rPr>
        <w:t>example</w:t>
      </w:r>
      <w:r w:rsidRPr="00120553">
        <w:rPr>
          <w:rFonts w:ascii="Book Antiqua" w:hAnsi="Book Antiqua"/>
          <w:sz w:val="20"/>
          <w:szCs w:val="20"/>
        </w:rPr>
        <w:t xml:space="preserve">, by maximising the usage of resources, as well as by minimising waste </w:t>
      </w:r>
      <w:r w:rsidR="00424237">
        <w:rPr>
          <w:rFonts w:ascii="Book Antiqua" w:hAnsi="Book Antiqua"/>
          <w:sz w:val="20"/>
          <w:szCs w:val="20"/>
        </w:rPr>
        <w:t>[26]</w:t>
      </w:r>
      <w:r w:rsidRPr="00120553">
        <w:rPr>
          <w:rFonts w:ascii="Book Antiqua" w:hAnsi="Book Antiqua"/>
          <w:sz w:val="20"/>
          <w:szCs w:val="20"/>
        </w:rPr>
        <w:t>. This partnership emphasizes the organizational need for a readiness culture in order to achieve operational excellence as</w:t>
      </w:r>
      <w:r>
        <w:rPr>
          <w:rFonts w:ascii="Book Antiqua" w:hAnsi="Book Antiqua"/>
          <w:sz w:val="20"/>
          <w:szCs w:val="20"/>
        </w:rPr>
        <w:t xml:space="preserve"> </w:t>
      </w:r>
      <w:r w:rsidRPr="00120553">
        <w:rPr>
          <w:rFonts w:ascii="Book Antiqua" w:hAnsi="Book Antiqua"/>
          <w:sz w:val="20"/>
          <w:szCs w:val="20"/>
        </w:rPr>
        <w:t>well as sustainability goals.</w:t>
      </w:r>
    </w:p>
    <w:p w14:paraId="31FB95F7" w14:textId="77777777" w:rsidR="00790B43" w:rsidRPr="00120553" w:rsidRDefault="00790B43" w:rsidP="00790B43">
      <w:pPr>
        <w:rPr>
          <w:rFonts w:cs="Times New Roman"/>
          <w:bCs/>
          <w:szCs w:val="20"/>
        </w:rPr>
      </w:pPr>
      <w:r w:rsidRPr="00120553">
        <w:rPr>
          <w:rFonts w:cs="Times New Roman"/>
          <w:b/>
          <w:bCs/>
          <w:szCs w:val="20"/>
        </w:rPr>
        <w:t>H4:</w:t>
      </w:r>
      <w:r w:rsidRPr="00120553">
        <w:rPr>
          <w:rFonts w:cs="Times New Roman"/>
          <w:bCs/>
          <w:szCs w:val="20"/>
        </w:rPr>
        <w:t xml:space="preserve"> </w:t>
      </w:r>
      <w:r w:rsidRPr="00790B43">
        <w:rPr>
          <w:rFonts w:cs="Times New Roman"/>
          <w:bCs/>
          <w:szCs w:val="20"/>
        </w:rPr>
        <w:t>Technological Readiness has a positive direct effect on Environmental Sustainability in the RMG sector.</w:t>
      </w:r>
    </w:p>
    <w:p w14:paraId="09D3A1DC" w14:textId="77777777" w:rsidR="00424237" w:rsidRDefault="00790B43" w:rsidP="00790B43">
      <w:pPr>
        <w:pStyle w:val="NormalWeb"/>
        <w:jc w:val="both"/>
        <w:rPr>
          <w:rFonts w:ascii="Book Antiqua" w:hAnsi="Book Antiqua"/>
          <w:sz w:val="20"/>
          <w:szCs w:val="20"/>
        </w:rPr>
      </w:pPr>
      <w:r w:rsidRPr="00120553">
        <w:rPr>
          <w:rFonts w:ascii="Book Antiqua" w:hAnsi="Book Antiqua"/>
          <w:sz w:val="20"/>
          <w:szCs w:val="20"/>
        </w:rPr>
        <w:t>Regarding the mediating role of technological readiness in the relationship of AI-driven integration with environmental performance,</w:t>
      </w:r>
      <w:r>
        <w:rPr>
          <w:rFonts w:ascii="Book Antiqua" w:hAnsi="Book Antiqua"/>
          <w:sz w:val="20"/>
          <w:szCs w:val="20"/>
        </w:rPr>
        <w:t xml:space="preserve"> </w:t>
      </w:r>
      <w:r w:rsidRPr="00120553">
        <w:rPr>
          <w:rFonts w:ascii="Book Antiqua" w:hAnsi="Book Antiqua"/>
          <w:sz w:val="20"/>
          <w:szCs w:val="20"/>
        </w:rPr>
        <w:t> </w:t>
      </w:r>
      <w:r w:rsidRPr="00120553">
        <w:rPr>
          <w:rFonts w:ascii="Book Antiqua" w:hAnsi="Book Antiqua"/>
          <w:sz w:val="20"/>
          <w:szCs w:val="20"/>
        </w:rPr>
        <w:t xml:space="preserve">the </w:t>
      </w:r>
      <w:r>
        <w:rPr>
          <w:rFonts w:ascii="Book Antiqua" w:hAnsi="Book Antiqua"/>
          <w:sz w:val="20"/>
          <w:szCs w:val="20"/>
        </w:rPr>
        <w:t>research</w:t>
      </w:r>
      <w:r w:rsidRPr="00120553">
        <w:rPr>
          <w:rFonts w:ascii="Book Antiqua" w:hAnsi="Book Antiqua"/>
          <w:sz w:val="20"/>
          <w:szCs w:val="20"/>
        </w:rPr>
        <w:t xml:space="preserve"> finds that technological readiness plays a pivotal role. When AI is used in organizations, ones with </w:t>
      </w:r>
      <w:r>
        <w:rPr>
          <w:rFonts w:ascii="Book Antiqua" w:hAnsi="Book Antiqua"/>
          <w:sz w:val="20"/>
          <w:szCs w:val="20"/>
        </w:rPr>
        <w:t>higher technological</w:t>
      </w:r>
      <w:r w:rsidRPr="00120553">
        <w:rPr>
          <w:rFonts w:ascii="Book Antiqua" w:hAnsi="Book Antiqua"/>
          <w:sz w:val="20"/>
          <w:szCs w:val="20"/>
        </w:rPr>
        <w:t xml:space="preserve"> readiness are more like to have a positive environmental impact than those who are not.</w:t>
      </w:r>
    </w:p>
    <w:p w14:paraId="1BB4FC53" w14:textId="4C91A0D3" w:rsidR="00790B43" w:rsidRPr="00120553"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 That’s because they </w:t>
      </w:r>
      <w:r>
        <w:rPr>
          <w:rFonts w:ascii="Book Antiqua" w:hAnsi="Book Antiqua"/>
          <w:sz w:val="20"/>
          <w:szCs w:val="20"/>
        </w:rPr>
        <w:t>can make</w:t>
      </w:r>
      <w:r w:rsidRPr="00120553">
        <w:rPr>
          <w:rFonts w:ascii="Book Antiqua" w:hAnsi="Book Antiqua"/>
          <w:sz w:val="20"/>
          <w:szCs w:val="20"/>
        </w:rPr>
        <w:t xml:space="preserve"> the most of AI solutions to streamline work, increase resource utilization, and encourage long-term sustainability. For instance, research suggests that technologically mature companies </w:t>
      </w:r>
      <w:r w:rsidR="00FC509E" w:rsidRPr="00120553">
        <w:rPr>
          <w:rFonts w:ascii="Book Antiqua" w:hAnsi="Book Antiqua"/>
          <w:sz w:val="20"/>
          <w:szCs w:val="20"/>
        </w:rPr>
        <w:t>can employ</w:t>
      </w:r>
      <w:r w:rsidRPr="00120553">
        <w:rPr>
          <w:rFonts w:ascii="Book Antiqua" w:hAnsi="Book Antiqua"/>
          <w:sz w:val="20"/>
          <w:szCs w:val="20"/>
        </w:rPr>
        <w:t xml:space="preserve"> AI in predictive analytics to make better </w:t>
      </w:r>
      <w:r>
        <w:rPr>
          <w:rFonts w:ascii="Book Antiqua" w:hAnsi="Book Antiqua"/>
          <w:sz w:val="20"/>
          <w:szCs w:val="20"/>
        </w:rPr>
        <w:t>decisions in</w:t>
      </w:r>
      <w:r w:rsidRPr="00120553">
        <w:rPr>
          <w:rFonts w:ascii="Book Antiqua" w:hAnsi="Book Antiqua"/>
          <w:sz w:val="20"/>
          <w:szCs w:val="20"/>
        </w:rPr>
        <w:t xml:space="preserve"> terms of resource management and waste </w:t>
      </w:r>
      <w:r w:rsidR="00B05364">
        <w:rPr>
          <w:rFonts w:ascii="Book Antiqua" w:hAnsi="Book Antiqua"/>
          <w:sz w:val="20"/>
          <w:szCs w:val="20"/>
        </w:rPr>
        <w:t>[25]</w:t>
      </w:r>
      <w:r w:rsidRPr="00120553">
        <w:rPr>
          <w:rFonts w:ascii="Book Antiqua" w:hAnsi="Book Antiqua"/>
          <w:sz w:val="20"/>
          <w:szCs w:val="20"/>
        </w:rPr>
        <w:t xml:space="preserve">. Hence, technology readiness is also a facilitator of the acceptance of AI and </w:t>
      </w:r>
      <w:r>
        <w:rPr>
          <w:rFonts w:ascii="Book Antiqua" w:hAnsi="Book Antiqua"/>
          <w:sz w:val="20"/>
          <w:szCs w:val="20"/>
        </w:rPr>
        <w:t>encourages its</w:t>
      </w:r>
      <w:r w:rsidRPr="00120553">
        <w:rPr>
          <w:rFonts w:ascii="Book Antiqua" w:hAnsi="Book Antiqua"/>
          <w:sz w:val="20"/>
          <w:szCs w:val="20"/>
        </w:rPr>
        <w:t xml:space="preserve"> environmental sustainability benefits.</w:t>
      </w:r>
    </w:p>
    <w:p w14:paraId="0940BC98" w14:textId="22D60354" w:rsidR="00790B43" w:rsidRPr="00120553" w:rsidRDefault="00790B43" w:rsidP="00790B43">
      <w:pPr>
        <w:pStyle w:val="NormalWeb"/>
        <w:jc w:val="both"/>
        <w:rPr>
          <w:rFonts w:ascii="Book Antiqua" w:hAnsi="Book Antiqua"/>
          <w:sz w:val="20"/>
          <w:szCs w:val="20"/>
        </w:rPr>
      </w:pPr>
      <w:r w:rsidRPr="00120553">
        <w:rPr>
          <w:rFonts w:ascii="Book Antiqua" w:hAnsi="Book Antiqua"/>
          <w:b/>
          <w:sz w:val="20"/>
          <w:szCs w:val="20"/>
        </w:rPr>
        <w:lastRenderedPageBreak/>
        <w:t>H5:</w:t>
      </w:r>
      <w:r w:rsidRPr="00120553">
        <w:rPr>
          <w:rFonts w:ascii="Book Antiqua" w:hAnsi="Book Antiqua"/>
          <w:sz w:val="20"/>
          <w:szCs w:val="20"/>
        </w:rPr>
        <w:t xml:space="preserve"> </w:t>
      </w:r>
      <w:r>
        <w:rPr>
          <w:rFonts w:ascii="Book Antiqua" w:hAnsi="Book Antiqua"/>
          <w:sz w:val="20"/>
          <w:szCs w:val="20"/>
        </w:rPr>
        <w:t>Technological Readiness</w:t>
      </w:r>
      <w:r w:rsidRPr="00120553">
        <w:rPr>
          <w:rFonts w:ascii="Book Antiqua" w:hAnsi="Book Antiqua"/>
          <w:sz w:val="20"/>
          <w:szCs w:val="20"/>
        </w:rPr>
        <w:t xml:space="preserve"> mediates a positive relationship between AI-Driven Supply Chain Integration and Environmental Sustainability.</w:t>
      </w:r>
    </w:p>
    <w:p w14:paraId="4A933F00" w14:textId="4F722619" w:rsidR="00790B43" w:rsidRPr="00790B43"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Thus, technology readiness is a complex construct that is </w:t>
      </w:r>
      <w:r>
        <w:rPr>
          <w:rFonts w:ascii="Book Antiqua" w:hAnsi="Book Antiqua"/>
          <w:sz w:val="20"/>
          <w:szCs w:val="20"/>
        </w:rPr>
        <w:t>critical in</w:t>
      </w:r>
      <w:r w:rsidRPr="00120553">
        <w:rPr>
          <w:rFonts w:ascii="Book Antiqua" w:hAnsi="Book Antiqua"/>
          <w:sz w:val="20"/>
          <w:szCs w:val="20"/>
        </w:rPr>
        <w:t xml:space="preserve"> digital transformation and SCM. It has powerful implications on the successful adoption of technologies, is linked to </w:t>
      </w:r>
      <w:r>
        <w:rPr>
          <w:rFonts w:ascii="Book Antiqua" w:hAnsi="Book Antiqua"/>
          <w:sz w:val="20"/>
          <w:szCs w:val="20"/>
        </w:rPr>
        <w:t>environmental sustainability,</w:t>
      </w:r>
      <w:r w:rsidRPr="00120553">
        <w:rPr>
          <w:rFonts w:ascii="Book Antiqua" w:hAnsi="Book Antiqua"/>
          <w:sz w:val="20"/>
          <w:szCs w:val="20"/>
        </w:rPr>
        <w:t xml:space="preserve"> and plays an intermediating role in the association between AI implementation and environmental performance. Enhancing technological readiness for digital mastery and sustainable operating practices should be a </w:t>
      </w:r>
      <w:r>
        <w:rPr>
          <w:rFonts w:ascii="Book Antiqua" w:hAnsi="Book Antiqua"/>
          <w:sz w:val="20"/>
          <w:szCs w:val="20"/>
        </w:rPr>
        <w:t>priority among</w:t>
      </w:r>
      <w:r w:rsidRPr="00120553">
        <w:rPr>
          <w:rFonts w:ascii="Book Antiqua" w:hAnsi="Book Antiqua"/>
          <w:sz w:val="20"/>
          <w:szCs w:val="20"/>
        </w:rPr>
        <w:t xml:space="preserve"> these institutions.</w:t>
      </w:r>
    </w:p>
    <w:p w14:paraId="15EBA4D3" w14:textId="77777777" w:rsidR="00790B43" w:rsidRPr="00790B43" w:rsidRDefault="00790B43" w:rsidP="00790B43">
      <w:pPr>
        <w:rPr>
          <w:rFonts w:cs="Times New Roman"/>
          <w:b/>
          <w:bCs/>
          <w:iCs/>
          <w:color w:val="C45911" w:themeColor="accent2" w:themeShade="BF"/>
          <w:szCs w:val="20"/>
        </w:rPr>
      </w:pPr>
      <w:r w:rsidRPr="00790B43">
        <w:rPr>
          <w:rFonts w:cs="Times New Roman"/>
          <w:b/>
          <w:bCs/>
          <w:iCs/>
          <w:color w:val="C45911" w:themeColor="accent2" w:themeShade="BF"/>
          <w:szCs w:val="20"/>
        </w:rPr>
        <w:t>2.4 Supply Chain Agility</w:t>
      </w:r>
    </w:p>
    <w:p w14:paraId="58F00223" w14:textId="77777777" w:rsidR="00424237" w:rsidRDefault="00790B43" w:rsidP="00790B43">
      <w:pPr>
        <w:rPr>
          <w:rFonts w:eastAsia="Times New Roman" w:cs="Times New Roman"/>
          <w:szCs w:val="20"/>
        </w:rPr>
      </w:pPr>
      <w:r w:rsidRPr="00790B43">
        <w:rPr>
          <w:rFonts w:eastAsia="Times New Roman" w:cs="Times New Roman"/>
          <w:szCs w:val="20"/>
        </w:rPr>
        <w:t xml:space="preserve">Agility in </w:t>
      </w:r>
      <w:r w:rsidR="0054742C">
        <w:rPr>
          <w:rFonts w:eastAsia="Times New Roman" w:cs="Times New Roman"/>
          <w:szCs w:val="20"/>
        </w:rPr>
        <w:t>supply chain</w:t>
      </w:r>
      <w:r w:rsidRPr="00790B43">
        <w:rPr>
          <w:rFonts w:eastAsia="Times New Roman" w:cs="Times New Roman"/>
          <w:szCs w:val="20"/>
        </w:rPr>
        <w:t xml:space="preserve"> function is the ability of an organization to </w:t>
      </w:r>
      <w:r w:rsidR="00B05364">
        <w:rPr>
          <w:rFonts w:eastAsia="Times New Roman" w:cs="Times New Roman"/>
          <w:szCs w:val="20"/>
        </w:rPr>
        <w:t>respond</w:t>
      </w:r>
      <w:r w:rsidRPr="00790B43">
        <w:rPr>
          <w:rFonts w:eastAsia="Times New Roman" w:cs="Times New Roman"/>
          <w:szCs w:val="20"/>
        </w:rPr>
        <w:t xml:space="preserve"> rapidly to the changes in market and </w:t>
      </w:r>
      <w:r w:rsidR="00B05364">
        <w:rPr>
          <w:rFonts w:eastAsia="Times New Roman" w:cs="Times New Roman"/>
          <w:szCs w:val="20"/>
        </w:rPr>
        <w:t>customers'</w:t>
      </w:r>
      <w:r w:rsidRPr="00790B43">
        <w:rPr>
          <w:rFonts w:eastAsia="Times New Roman" w:cs="Times New Roman"/>
          <w:szCs w:val="20"/>
        </w:rPr>
        <w:t xml:space="preserve"> demand, </w:t>
      </w:r>
      <w:r w:rsidR="00FC509E">
        <w:rPr>
          <w:rFonts w:eastAsia="Times New Roman" w:cs="Times New Roman"/>
          <w:szCs w:val="20"/>
        </w:rPr>
        <w:t xml:space="preserve">and </w:t>
      </w:r>
      <w:r w:rsidRPr="00790B43">
        <w:rPr>
          <w:rFonts w:eastAsia="Times New Roman" w:cs="Times New Roman"/>
          <w:szCs w:val="20"/>
        </w:rPr>
        <w:t>factory-level flexibility</w:t>
      </w:r>
      <w:r w:rsidR="00B05364">
        <w:rPr>
          <w:rFonts w:eastAsia="Times New Roman" w:cs="Times New Roman"/>
          <w:szCs w:val="20"/>
        </w:rPr>
        <w:t>,</w:t>
      </w:r>
      <w:r w:rsidRPr="00790B43">
        <w:rPr>
          <w:rFonts w:eastAsia="Times New Roman" w:cs="Times New Roman"/>
          <w:szCs w:val="20"/>
        </w:rPr>
        <w:t xml:space="preserve"> where the </w:t>
      </w:r>
      <w:r w:rsidR="00FC509E">
        <w:rPr>
          <w:rFonts w:eastAsia="Times New Roman" w:cs="Times New Roman"/>
          <w:szCs w:val="20"/>
        </w:rPr>
        <w:t>sensitive</w:t>
      </w:r>
      <w:r w:rsidRPr="00790B43">
        <w:rPr>
          <w:rFonts w:eastAsia="Times New Roman" w:cs="Times New Roman"/>
          <w:szCs w:val="20"/>
        </w:rPr>
        <w:t xml:space="preserve"> and unforeseen events of the organization </w:t>
      </w:r>
      <w:r w:rsidR="00B05364">
        <w:rPr>
          <w:rFonts w:eastAsia="Times New Roman" w:cs="Times New Roman"/>
          <w:szCs w:val="20"/>
        </w:rPr>
        <w:t>[26]</w:t>
      </w:r>
      <w:r w:rsidRPr="00790B43">
        <w:rPr>
          <w:rFonts w:eastAsia="Times New Roman" w:cs="Times New Roman"/>
          <w:szCs w:val="20"/>
        </w:rPr>
        <w:t>.</w:t>
      </w:r>
      <w:r w:rsidRPr="00D40BD7">
        <w:rPr>
          <w:rFonts w:eastAsia="Times New Roman" w:cs="Times New Roman"/>
          <w:color w:val="70AD47" w:themeColor="accent6"/>
          <w:szCs w:val="20"/>
        </w:rPr>
        <w:t xml:space="preserve"> </w:t>
      </w:r>
      <w:r w:rsidRPr="00120553">
        <w:rPr>
          <w:rFonts w:eastAsia="Times New Roman" w:cs="Times New Roman"/>
          <w:szCs w:val="20"/>
        </w:rPr>
        <w:t xml:space="preserve">Such agility is vital in turbulent markets in which consumer desires and environmental realities can change overnight, requiring the organization to react immediately, if it is to stay competitive </w:t>
      </w:r>
      <w:r w:rsidR="00B05364">
        <w:rPr>
          <w:rFonts w:eastAsia="Times New Roman" w:cs="Times New Roman"/>
          <w:szCs w:val="20"/>
        </w:rPr>
        <w:t>[27]</w:t>
      </w:r>
      <w:r w:rsidRPr="00120553">
        <w:rPr>
          <w:rFonts w:eastAsia="Times New Roman" w:cs="Times New Roman"/>
          <w:szCs w:val="20"/>
        </w:rPr>
        <w:t xml:space="preserve">. Supply chain </w:t>
      </w:r>
      <w:r w:rsidR="00B05364">
        <w:rPr>
          <w:rFonts w:eastAsia="Times New Roman" w:cs="Times New Roman"/>
          <w:szCs w:val="20"/>
        </w:rPr>
        <w:t>agility plays</w:t>
      </w:r>
      <w:r w:rsidRPr="00120553">
        <w:rPr>
          <w:rFonts w:eastAsia="Times New Roman" w:cs="Times New Roman"/>
          <w:szCs w:val="20"/>
        </w:rPr>
        <w:t xml:space="preserve"> </w:t>
      </w:r>
      <w:r w:rsidR="00FC509E">
        <w:rPr>
          <w:rFonts w:eastAsia="Times New Roman" w:cs="Times New Roman"/>
          <w:szCs w:val="20"/>
        </w:rPr>
        <w:t xml:space="preserve">a </w:t>
      </w:r>
      <w:r w:rsidRPr="00120553">
        <w:rPr>
          <w:rFonts w:eastAsia="Times New Roman" w:cs="Times New Roman"/>
          <w:szCs w:val="20"/>
        </w:rPr>
        <w:t>critical role in performance indicators such as on-time delivery, quality, flexibility</w:t>
      </w:r>
      <w:r w:rsidR="00FC509E">
        <w:rPr>
          <w:rFonts w:eastAsia="Times New Roman" w:cs="Times New Roman"/>
          <w:szCs w:val="20"/>
        </w:rPr>
        <w:t>,</w:t>
      </w:r>
      <w:r w:rsidRPr="00120553">
        <w:rPr>
          <w:rFonts w:eastAsia="Times New Roman" w:cs="Times New Roman"/>
          <w:szCs w:val="20"/>
        </w:rPr>
        <w:t xml:space="preserve"> and innovation </w:t>
      </w:r>
      <w:r w:rsidR="00B05364">
        <w:rPr>
          <w:rFonts w:eastAsia="Times New Roman" w:cs="Times New Roman"/>
          <w:szCs w:val="20"/>
        </w:rPr>
        <w:t>[28]</w:t>
      </w:r>
      <w:r w:rsidRPr="00120553">
        <w:rPr>
          <w:rFonts w:eastAsia="Times New Roman" w:cs="Times New Roman"/>
          <w:szCs w:val="20"/>
        </w:rPr>
        <w:t>.</w:t>
      </w:r>
    </w:p>
    <w:p w14:paraId="23B7A8B1" w14:textId="77777777" w:rsidR="00424237" w:rsidRDefault="00424237" w:rsidP="00790B43">
      <w:pPr>
        <w:rPr>
          <w:rFonts w:eastAsia="Times New Roman" w:cs="Times New Roman"/>
          <w:szCs w:val="20"/>
        </w:rPr>
      </w:pPr>
    </w:p>
    <w:p w14:paraId="0C1F02FB" w14:textId="0A8ECF69" w:rsidR="00790B43" w:rsidRDefault="00790B43" w:rsidP="00790B43">
      <w:pPr>
        <w:rPr>
          <w:rFonts w:eastAsia="Times New Roman" w:cs="Times New Roman"/>
          <w:szCs w:val="20"/>
        </w:rPr>
      </w:pPr>
      <w:r w:rsidRPr="00120553">
        <w:rPr>
          <w:rFonts w:eastAsia="Times New Roman" w:cs="Times New Roman"/>
          <w:szCs w:val="20"/>
        </w:rPr>
        <w:t xml:space="preserve"> Under conditions of uncertainty, agile supply chains are </w:t>
      </w:r>
      <w:r w:rsidR="00FC509E">
        <w:rPr>
          <w:rFonts w:eastAsia="Times New Roman" w:cs="Times New Roman"/>
          <w:szCs w:val="20"/>
        </w:rPr>
        <w:t>in a</w:t>
      </w:r>
      <w:r w:rsidRPr="00120553">
        <w:rPr>
          <w:rFonts w:eastAsia="Times New Roman" w:cs="Times New Roman"/>
          <w:szCs w:val="20"/>
        </w:rPr>
        <w:t xml:space="preserve"> better position to navigate risks and seize </w:t>
      </w:r>
      <w:r w:rsidR="00FC509E" w:rsidRPr="00120553">
        <w:rPr>
          <w:rFonts w:eastAsia="Times New Roman" w:cs="Times New Roman"/>
          <w:szCs w:val="20"/>
        </w:rPr>
        <w:t>opportunities and</w:t>
      </w:r>
      <w:r w:rsidRPr="00120553">
        <w:rPr>
          <w:rFonts w:eastAsia="Times New Roman" w:cs="Times New Roman"/>
          <w:szCs w:val="20"/>
        </w:rPr>
        <w:t xml:space="preserve"> thereby are more capable of generating sustained operating performance </w:t>
      </w:r>
      <w:r w:rsidR="00B05364">
        <w:rPr>
          <w:rFonts w:eastAsia="Times New Roman" w:cs="Times New Roman"/>
          <w:szCs w:val="20"/>
        </w:rPr>
        <w:t>[29]</w:t>
      </w:r>
      <w:r w:rsidRPr="00120553">
        <w:rPr>
          <w:rFonts w:eastAsia="Times New Roman" w:cs="Times New Roman"/>
          <w:szCs w:val="20"/>
        </w:rPr>
        <w:t>.</w:t>
      </w:r>
    </w:p>
    <w:p w14:paraId="47FB1FDB" w14:textId="77777777" w:rsidR="00424237" w:rsidRPr="00120553" w:rsidRDefault="00424237" w:rsidP="00790B43">
      <w:pPr>
        <w:rPr>
          <w:rFonts w:eastAsia="Times New Roman" w:cs="Times New Roman"/>
          <w:szCs w:val="20"/>
        </w:rPr>
      </w:pPr>
    </w:p>
    <w:p w14:paraId="4FF23065" w14:textId="77777777" w:rsidR="00424237" w:rsidRDefault="00790B43" w:rsidP="00790B43">
      <w:pPr>
        <w:rPr>
          <w:rFonts w:eastAsia="Times New Roman" w:cs="Times New Roman"/>
          <w:szCs w:val="20"/>
        </w:rPr>
      </w:pPr>
      <w:r w:rsidRPr="00120553">
        <w:rPr>
          <w:rFonts w:eastAsia="Times New Roman" w:cs="Times New Roman"/>
          <w:szCs w:val="20"/>
        </w:rPr>
        <w:t xml:space="preserve">The literature shows </w:t>
      </w:r>
      <w:r w:rsidR="00FC509E">
        <w:rPr>
          <w:rFonts w:eastAsia="Times New Roman" w:cs="Times New Roman"/>
          <w:szCs w:val="20"/>
        </w:rPr>
        <w:t>that SC</w:t>
      </w:r>
      <w:r w:rsidRPr="00120553">
        <w:rPr>
          <w:rFonts w:eastAsia="Times New Roman" w:cs="Times New Roman"/>
          <w:szCs w:val="20"/>
        </w:rPr>
        <w:t xml:space="preserve"> agility improves organizational operational performance and promotes green practices at organizations. Agility allows companies to respond more quickly to regulations and the consumer preference for environmentally friendly products. As an example, agile supply chains are </w:t>
      </w:r>
      <w:r w:rsidR="00FC509E">
        <w:rPr>
          <w:rFonts w:eastAsia="Times New Roman" w:cs="Times New Roman"/>
          <w:szCs w:val="20"/>
        </w:rPr>
        <w:t>able to</w:t>
      </w:r>
      <w:r w:rsidRPr="00120553">
        <w:rPr>
          <w:rFonts w:eastAsia="Times New Roman" w:cs="Times New Roman"/>
          <w:szCs w:val="20"/>
        </w:rPr>
        <w:t xml:space="preserve"> rapidly transform sourcing and production structures to be able to include sustainable fabrics and practices, consequently satisfying those goals in relation to environmental sustainability </w:t>
      </w:r>
      <w:r w:rsidR="00B05364">
        <w:rPr>
          <w:rFonts w:eastAsia="Times New Roman" w:cs="Times New Roman"/>
          <w:szCs w:val="20"/>
        </w:rPr>
        <w:t>[30]</w:t>
      </w:r>
      <w:r w:rsidRPr="00120553">
        <w:rPr>
          <w:rFonts w:eastAsia="Times New Roman" w:cs="Times New Roman"/>
          <w:szCs w:val="20"/>
        </w:rPr>
        <w:t xml:space="preserve">. </w:t>
      </w:r>
    </w:p>
    <w:p w14:paraId="7F0EE648" w14:textId="77777777" w:rsidR="00424237" w:rsidRDefault="00424237" w:rsidP="00790B43">
      <w:pPr>
        <w:rPr>
          <w:rFonts w:eastAsia="Times New Roman" w:cs="Times New Roman"/>
          <w:szCs w:val="20"/>
        </w:rPr>
      </w:pPr>
    </w:p>
    <w:p w14:paraId="1CC1FFDF" w14:textId="193771A1" w:rsidR="00790B43" w:rsidRDefault="00790B43" w:rsidP="00790B43">
      <w:pPr>
        <w:rPr>
          <w:rFonts w:eastAsia="Times New Roman" w:cs="Times New Roman"/>
          <w:szCs w:val="20"/>
        </w:rPr>
      </w:pPr>
      <w:r w:rsidRPr="00120553">
        <w:rPr>
          <w:rFonts w:eastAsia="Times New Roman" w:cs="Times New Roman"/>
          <w:szCs w:val="20"/>
        </w:rPr>
        <w:t xml:space="preserve">Anticipating the market and responding </w:t>
      </w:r>
      <w:r w:rsidR="00B05364">
        <w:rPr>
          <w:rFonts w:eastAsia="Times New Roman" w:cs="Times New Roman"/>
          <w:szCs w:val="20"/>
        </w:rPr>
        <w:t>proactively are</w:t>
      </w:r>
      <w:r w:rsidRPr="00120553">
        <w:rPr>
          <w:rFonts w:eastAsia="Times New Roman" w:cs="Times New Roman"/>
          <w:szCs w:val="20"/>
        </w:rPr>
        <w:t xml:space="preserve"> </w:t>
      </w:r>
      <w:r w:rsidR="00FC509E">
        <w:rPr>
          <w:rFonts w:eastAsia="Times New Roman" w:cs="Times New Roman"/>
          <w:szCs w:val="20"/>
        </w:rPr>
        <w:t xml:space="preserve">the </w:t>
      </w:r>
      <w:r w:rsidRPr="00120553">
        <w:rPr>
          <w:rFonts w:eastAsia="Times New Roman" w:cs="Times New Roman"/>
          <w:szCs w:val="20"/>
        </w:rPr>
        <w:t xml:space="preserve">main drivers of green supply chain initiatives </w:t>
      </w:r>
      <w:r w:rsidR="00B05364">
        <w:rPr>
          <w:rFonts w:eastAsia="Times New Roman" w:cs="Times New Roman"/>
          <w:szCs w:val="20"/>
        </w:rPr>
        <w:t>[31]</w:t>
      </w:r>
      <w:r w:rsidRPr="00120553">
        <w:rPr>
          <w:rFonts w:eastAsia="Times New Roman" w:cs="Times New Roman"/>
          <w:szCs w:val="20"/>
        </w:rPr>
        <w:t xml:space="preserve">. This flexibility </w:t>
      </w:r>
      <w:r w:rsidR="00B05364">
        <w:rPr>
          <w:rFonts w:eastAsia="Times New Roman" w:cs="Times New Roman"/>
          <w:szCs w:val="20"/>
        </w:rPr>
        <w:t>is essential</w:t>
      </w:r>
      <w:r w:rsidRPr="00120553">
        <w:rPr>
          <w:rFonts w:eastAsia="Times New Roman" w:cs="Times New Roman"/>
          <w:szCs w:val="20"/>
        </w:rPr>
        <w:t xml:space="preserve"> as companies try to satisfy </w:t>
      </w:r>
      <w:r w:rsidR="00B071D6" w:rsidRPr="00120553">
        <w:rPr>
          <w:rFonts w:eastAsia="Times New Roman" w:cs="Times New Roman"/>
          <w:szCs w:val="20"/>
        </w:rPr>
        <w:t>profitability,</w:t>
      </w:r>
      <w:r w:rsidRPr="00120553">
        <w:rPr>
          <w:rFonts w:eastAsia="Times New Roman" w:cs="Times New Roman"/>
          <w:szCs w:val="20"/>
        </w:rPr>
        <w:t xml:space="preserve"> and sustainability demands at the same time.</w:t>
      </w:r>
    </w:p>
    <w:p w14:paraId="555FC5C1" w14:textId="77777777" w:rsidR="00B071D6" w:rsidRPr="00120553" w:rsidRDefault="00B071D6" w:rsidP="00790B43">
      <w:pPr>
        <w:rPr>
          <w:rFonts w:eastAsia="Times New Roman" w:cs="Times New Roman"/>
          <w:szCs w:val="20"/>
        </w:rPr>
      </w:pPr>
    </w:p>
    <w:p w14:paraId="5981D9B0" w14:textId="1B943338" w:rsidR="00790B43" w:rsidRPr="00120553" w:rsidRDefault="00790B43" w:rsidP="00790B43">
      <w:pPr>
        <w:rPr>
          <w:rFonts w:eastAsia="Times New Roman" w:cs="Times New Roman"/>
          <w:szCs w:val="20"/>
        </w:rPr>
      </w:pPr>
      <w:r w:rsidRPr="00120553">
        <w:rPr>
          <w:rFonts w:eastAsia="Times New Roman" w:cs="Times New Roman"/>
          <w:szCs w:val="20"/>
        </w:rPr>
        <w:t>The direct influence of supply chain agility on environmental sustainability is also proven in research</w:t>
      </w:r>
      <w:r w:rsidR="00B05364">
        <w:rPr>
          <w:rFonts w:eastAsia="Times New Roman" w:cs="Times New Roman"/>
          <w:szCs w:val="20"/>
        </w:rPr>
        <w:t>,</w:t>
      </w:r>
      <w:r w:rsidRPr="00120553">
        <w:rPr>
          <w:rFonts w:eastAsia="Times New Roman" w:cs="Times New Roman"/>
          <w:szCs w:val="20"/>
        </w:rPr>
        <w:t xml:space="preserve"> which shows an association between agile practices and waste reduction as well as </w:t>
      </w:r>
      <w:r w:rsidR="00B05364">
        <w:rPr>
          <w:rFonts w:eastAsia="Times New Roman" w:cs="Times New Roman"/>
          <w:szCs w:val="20"/>
        </w:rPr>
        <w:t>resource efficiency</w:t>
      </w:r>
      <w:r w:rsidRPr="00120553">
        <w:rPr>
          <w:rFonts w:eastAsia="Times New Roman" w:cs="Times New Roman"/>
          <w:szCs w:val="20"/>
        </w:rPr>
        <w:t xml:space="preserve"> </w:t>
      </w:r>
      <w:r w:rsidR="00B05364">
        <w:rPr>
          <w:rFonts w:eastAsia="Times New Roman" w:cs="Times New Roman"/>
          <w:szCs w:val="20"/>
        </w:rPr>
        <w:t>[32]</w:t>
      </w:r>
      <w:r w:rsidRPr="00120553">
        <w:rPr>
          <w:rFonts w:eastAsia="Times New Roman" w:cs="Times New Roman"/>
          <w:szCs w:val="20"/>
        </w:rPr>
        <w:t xml:space="preserve">. For instance, agile supply chains can accommodate lean practices to reduce the surplus inventory in the production system and to simplify the operations; as a result, carbon footprints and sustainability performance can also be improved </w:t>
      </w:r>
      <w:r w:rsidR="00B05364">
        <w:rPr>
          <w:rFonts w:eastAsia="Times New Roman" w:cs="Times New Roman"/>
          <w:szCs w:val="20"/>
        </w:rPr>
        <w:t>[33]</w:t>
      </w:r>
      <w:r w:rsidRPr="00120553">
        <w:rPr>
          <w:rFonts w:eastAsia="Times New Roman" w:cs="Times New Roman"/>
          <w:szCs w:val="20"/>
        </w:rPr>
        <w:t>. Bovet (2005) indicates that agility enables a firm to innovate and continuously improve both processes and products, promoting a culture of continuous improvement</w:t>
      </w:r>
      <w:r w:rsidR="00B05364">
        <w:rPr>
          <w:rFonts w:eastAsia="Times New Roman" w:cs="Times New Roman"/>
          <w:szCs w:val="20"/>
        </w:rPr>
        <w:t>,</w:t>
      </w:r>
      <w:r w:rsidRPr="00120553">
        <w:rPr>
          <w:rFonts w:eastAsia="Times New Roman" w:cs="Times New Roman"/>
          <w:szCs w:val="20"/>
        </w:rPr>
        <w:t xml:space="preserve"> which is necessary for </w:t>
      </w:r>
      <w:r w:rsidR="00B05364">
        <w:rPr>
          <w:rFonts w:eastAsia="Times New Roman" w:cs="Times New Roman"/>
          <w:szCs w:val="20"/>
        </w:rPr>
        <w:t>long-term survival</w:t>
      </w:r>
      <w:r w:rsidRPr="00120553">
        <w:rPr>
          <w:rFonts w:eastAsia="Times New Roman" w:cs="Times New Roman"/>
          <w:szCs w:val="20"/>
        </w:rPr>
        <w:t xml:space="preserve"> </w:t>
      </w:r>
      <w:r w:rsidR="00B05364">
        <w:rPr>
          <w:rFonts w:eastAsia="Times New Roman" w:cs="Times New Roman"/>
          <w:szCs w:val="20"/>
        </w:rPr>
        <w:t>[34]</w:t>
      </w:r>
      <w:r w:rsidRPr="00120553">
        <w:rPr>
          <w:rFonts w:eastAsia="Times New Roman" w:cs="Times New Roman"/>
          <w:szCs w:val="20"/>
        </w:rPr>
        <w:t>.</w:t>
      </w:r>
    </w:p>
    <w:p w14:paraId="6589204F" w14:textId="77777777" w:rsidR="00790B43" w:rsidRDefault="00790B43" w:rsidP="00790B43">
      <w:pPr>
        <w:rPr>
          <w:rFonts w:cs="Times New Roman"/>
          <w:b/>
          <w:bCs/>
          <w:szCs w:val="20"/>
        </w:rPr>
      </w:pPr>
    </w:p>
    <w:p w14:paraId="58A95BB4" w14:textId="77777777" w:rsidR="00790B43" w:rsidRPr="00120553" w:rsidRDefault="00790B43" w:rsidP="00790B43">
      <w:pPr>
        <w:rPr>
          <w:rFonts w:cs="Times New Roman"/>
          <w:bCs/>
          <w:szCs w:val="20"/>
        </w:rPr>
      </w:pPr>
      <w:r w:rsidRPr="00120553">
        <w:rPr>
          <w:rFonts w:cs="Times New Roman"/>
          <w:b/>
          <w:bCs/>
          <w:szCs w:val="20"/>
        </w:rPr>
        <w:t>H6:</w:t>
      </w:r>
      <w:r w:rsidRPr="00120553">
        <w:rPr>
          <w:rFonts w:cs="Times New Roman"/>
          <w:bCs/>
          <w:szCs w:val="20"/>
        </w:rPr>
        <w:t> </w:t>
      </w:r>
      <w:r w:rsidRPr="00790B43">
        <w:rPr>
          <w:rFonts w:cs="Times New Roman"/>
          <w:bCs/>
          <w:szCs w:val="20"/>
        </w:rPr>
        <w:t>Supply Chain Agility has a positive direct effect on Environmental Sustainability in the RMG sector.</w:t>
      </w:r>
    </w:p>
    <w:p w14:paraId="5569E81E" w14:textId="77777777" w:rsidR="00424237"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Furthermore, the literature also acknowledges the mediating effect of supply </w:t>
      </w:r>
      <w:r w:rsidR="00B05364">
        <w:rPr>
          <w:rFonts w:ascii="Book Antiqua" w:hAnsi="Book Antiqua"/>
          <w:sz w:val="20"/>
          <w:szCs w:val="20"/>
        </w:rPr>
        <w:t>chain agility</w:t>
      </w:r>
      <w:r w:rsidRPr="00120553">
        <w:rPr>
          <w:rFonts w:ascii="Book Antiqua" w:hAnsi="Book Antiqua"/>
          <w:sz w:val="20"/>
          <w:szCs w:val="20"/>
        </w:rPr>
        <w:t xml:space="preserve"> on the relationship between AI integration and environmental sustainability. Supply chain agility is improved using AI technologies to access </w:t>
      </w:r>
      <w:r w:rsidR="00B05364">
        <w:rPr>
          <w:rFonts w:ascii="Book Antiqua" w:hAnsi="Book Antiqua"/>
          <w:sz w:val="20"/>
          <w:szCs w:val="20"/>
        </w:rPr>
        <w:t>up-to-the-second</w:t>
      </w:r>
      <w:r w:rsidRPr="00120553">
        <w:rPr>
          <w:rFonts w:ascii="Book Antiqua" w:hAnsi="Book Antiqua"/>
          <w:sz w:val="20"/>
          <w:szCs w:val="20"/>
        </w:rPr>
        <w:t xml:space="preserve"> data analytics and predictive analytics that help firms make decisions </w:t>
      </w:r>
      <w:r w:rsidR="00B05364">
        <w:rPr>
          <w:rFonts w:ascii="Book Antiqua" w:hAnsi="Book Antiqua"/>
          <w:sz w:val="20"/>
          <w:szCs w:val="20"/>
        </w:rPr>
        <w:t>in a</w:t>
      </w:r>
      <w:r w:rsidRPr="00120553">
        <w:rPr>
          <w:rFonts w:ascii="Book Antiqua" w:hAnsi="Book Antiqua"/>
          <w:sz w:val="20"/>
          <w:szCs w:val="20"/>
        </w:rPr>
        <w:t xml:space="preserve"> snap </w:t>
      </w:r>
      <w:r w:rsidR="00B05364">
        <w:rPr>
          <w:rFonts w:ascii="Book Antiqua" w:hAnsi="Book Antiqua"/>
          <w:sz w:val="20"/>
          <w:szCs w:val="20"/>
        </w:rPr>
        <w:t>[35]</w:t>
      </w:r>
      <w:r w:rsidRPr="00120553">
        <w:rPr>
          <w:rFonts w:ascii="Book Antiqua" w:hAnsi="Book Antiqua"/>
          <w:sz w:val="20"/>
          <w:szCs w:val="20"/>
        </w:rPr>
        <w:t xml:space="preserve">. </w:t>
      </w:r>
    </w:p>
    <w:p w14:paraId="742FDC88" w14:textId="79A54C38" w:rsidR="00790B43" w:rsidRPr="00120553" w:rsidRDefault="00790B43" w:rsidP="00790B43">
      <w:pPr>
        <w:pStyle w:val="NormalWeb"/>
        <w:jc w:val="both"/>
        <w:rPr>
          <w:rFonts w:ascii="Book Antiqua" w:hAnsi="Book Antiqua"/>
          <w:sz w:val="20"/>
          <w:szCs w:val="20"/>
        </w:rPr>
      </w:pPr>
      <w:r w:rsidRPr="00120553">
        <w:rPr>
          <w:rFonts w:ascii="Book Antiqua" w:hAnsi="Book Antiqua"/>
          <w:sz w:val="20"/>
          <w:szCs w:val="20"/>
        </w:rPr>
        <w:t xml:space="preserve">Such AI-agility duality will not only enhance agility and </w:t>
      </w:r>
      <w:r w:rsidR="00B05364" w:rsidRPr="00120553">
        <w:rPr>
          <w:rFonts w:ascii="Book Antiqua" w:hAnsi="Book Antiqua"/>
          <w:sz w:val="20"/>
          <w:szCs w:val="20"/>
        </w:rPr>
        <w:t>responsiveness but</w:t>
      </w:r>
      <w:r w:rsidRPr="00120553">
        <w:rPr>
          <w:rFonts w:ascii="Book Antiqua" w:hAnsi="Book Antiqua"/>
          <w:sz w:val="20"/>
          <w:szCs w:val="20"/>
        </w:rPr>
        <w:t xml:space="preserve"> also pave the </w:t>
      </w:r>
      <w:r w:rsidR="00B05364">
        <w:rPr>
          <w:rFonts w:ascii="Book Antiqua" w:hAnsi="Book Antiqua"/>
          <w:sz w:val="20"/>
          <w:szCs w:val="20"/>
        </w:rPr>
        <w:t>way for</w:t>
      </w:r>
      <w:r w:rsidRPr="00120553">
        <w:rPr>
          <w:rFonts w:ascii="Book Antiqua" w:hAnsi="Book Antiqua"/>
          <w:sz w:val="20"/>
          <w:szCs w:val="20"/>
        </w:rPr>
        <w:t xml:space="preserve"> the grass-roots cornerstones of sustainable practices becoming more aligned and reducing waste </w:t>
      </w:r>
      <w:r w:rsidR="00B05364">
        <w:rPr>
          <w:rFonts w:ascii="Book Antiqua" w:hAnsi="Book Antiqua"/>
          <w:sz w:val="20"/>
          <w:szCs w:val="20"/>
        </w:rPr>
        <w:t>[36]</w:t>
      </w:r>
      <w:r w:rsidRPr="00120553">
        <w:rPr>
          <w:rFonts w:ascii="Book Antiqua" w:hAnsi="Book Antiqua"/>
          <w:sz w:val="20"/>
          <w:szCs w:val="20"/>
        </w:rPr>
        <w:t xml:space="preserve">. </w:t>
      </w:r>
      <w:r w:rsidR="00FC509E" w:rsidRPr="00120553">
        <w:rPr>
          <w:rFonts w:ascii="Book Antiqua" w:hAnsi="Book Antiqua"/>
          <w:sz w:val="20"/>
          <w:szCs w:val="20"/>
        </w:rPr>
        <w:t>And</w:t>
      </w:r>
      <w:r w:rsidRPr="00120553">
        <w:rPr>
          <w:rFonts w:ascii="Book Antiqua" w:hAnsi="Book Antiqua"/>
          <w:sz w:val="20"/>
          <w:szCs w:val="20"/>
        </w:rPr>
        <w:t xml:space="preserve"> incorporation of AI in agile supply chains supports proactive sustainability; operational centred sustainability, firms prepare and face </w:t>
      </w:r>
      <w:r w:rsidR="00B05364">
        <w:rPr>
          <w:rFonts w:ascii="Book Antiqua" w:hAnsi="Book Antiqua"/>
          <w:sz w:val="20"/>
          <w:szCs w:val="20"/>
        </w:rPr>
        <w:t>environmental challenges</w:t>
      </w:r>
      <w:r w:rsidR="00B05364" w:rsidRPr="00120553">
        <w:rPr>
          <w:rFonts w:ascii="Book Antiqua" w:hAnsi="Book Antiqua"/>
          <w:sz w:val="20"/>
          <w:szCs w:val="20"/>
        </w:rPr>
        <w:t xml:space="preserve"> and</w:t>
      </w:r>
      <w:r w:rsidRPr="00120553">
        <w:rPr>
          <w:rFonts w:ascii="Book Antiqua" w:hAnsi="Book Antiqua"/>
          <w:sz w:val="20"/>
          <w:szCs w:val="20"/>
        </w:rPr>
        <w:t xml:space="preserve"> react to them effectively </w:t>
      </w:r>
      <w:r w:rsidR="00B05364">
        <w:rPr>
          <w:rFonts w:ascii="Book Antiqua" w:hAnsi="Book Antiqua"/>
          <w:sz w:val="20"/>
          <w:szCs w:val="20"/>
        </w:rPr>
        <w:t>[37]</w:t>
      </w:r>
      <w:r w:rsidRPr="00120553">
        <w:rPr>
          <w:rFonts w:ascii="Book Antiqua" w:hAnsi="Book Antiqua"/>
          <w:sz w:val="20"/>
          <w:szCs w:val="20"/>
        </w:rPr>
        <w:t>.</w:t>
      </w:r>
    </w:p>
    <w:p w14:paraId="6B2C4CEF" w14:textId="77777777" w:rsidR="00790B43" w:rsidRPr="00120553" w:rsidRDefault="00790B43" w:rsidP="00790B43">
      <w:pPr>
        <w:rPr>
          <w:rFonts w:cs="Times New Roman"/>
          <w:bCs/>
          <w:szCs w:val="20"/>
        </w:rPr>
      </w:pPr>
      <w:r w:rsidRPr="00120553">
        <w:rPr>
          <w:rFonts w:cs="Times New Roman"/>
          <w:b/>
          <w:bCs/>
          <w:szCs w:val="20"/>
        </w:rPr>
        <w:t>H7:</w:t>
      </w:r>
      <w:r w:rsidRPr="00120553">
        <w:rPr>
          <w:rFonts w:cs="Times New Roman"/>
          <w:bCs/>
          <w:szCs w:val="20"/>
        </w:rPr>
        <w:t> </w:t>
      </w:r>
      <w:r w:rsidRPr="00790B43">
        <w:rPr>
          <w:rFonts w:cs="Times New Roman"/>
          <w:bCs/>
          <w:szCs w:val="20"/>
        </w:rPr>
        <w:t>Supply Chain Agility positively mediates the relationship between AI-Driven Supply Chain Integration and Environmental Sustainability.</w:t>
      </w:r>
    </w:p>
    <w:p w14:paraId="1D904CA9" w14:textId="3D4CC53B" w:rsidR="00790B43" w:rsidRPr="00120553" w:rsidRDefault="00790B43" w:rsidP="00790B43">
      <w:pPr>
        <w:pStyle w:val="NormalWeb"/>
        <w:jc w:val="both"/>
        <w:rPr>
          <w:rFonts w:ascii="Book Antiqua" w:hAnsi="Book Antiqua"/>
          <w:sz w:val="20"/>
          <w:szCs w:val="20"/>
        </w:rPr>
      </w:pPr>
      <w:r w:rsidRPr="00120553">
        <w:rPr>
          <w:rFonts w:ascii="Book Antiqua" w:hAnsi="Book Antiqua"/>
          <w:sz w:val="20"/>
          <w:szCs w:val="20"/>
        </w:rPr>
        <w:lastRenderedPageBreak/>
        <w:t>In conclusion, supply chain agility is an integral aspect for firms doing business in dynamic markets,</w:t>
      </w:r>
      <w:r w:rsidR="00B05364">
        <w:rPr>
          <w:rFonts w:ascii="Book Antiqua" w:hAnsi="Book Antiqua"/>
          <w:sz w:val="20"/>
          <w:szCs w:val="20"/>
        </w:rPr>
        <w:t xml:space="preserve"> </w:t>
      </w:r>
      <w:r w:rsidRPr="00120553">
        <w:rPr>
          <w:rFonts w:ascii="Book Antiqua" w:hAnsi="Book Antiqua"/>
          <w:sz w:val="20"/>
          <w:szCs w:val="20"/>
        </w:rPr>
        <w:t> </w:t>
      </w:r>
      <w:r w:rsidRPr="00120553">
        <w:rPr>
          <w:rFonts w:ascii="Book Antiqua" w:hAnsi="Book Antiqua"/>
          <w:sz w:val="20"/>
          <w:szCs w:val="20"/>
        </w:rPr>
        <w:t>because it allows organizations to act more quickly to changes in competitive landscapes and facilitates sustainable practices. The nexus of agility, AI</w:t>
      </w:r>
      <w:r w:rsidR="00B05364">
        <w:rPr>
          <w:rFonts w:ascii="Book Antiqua" w:hAnsi="Book Antiqua"/>
          <w:sz w:val="20"/>
          <w:szCs w:val="20"/>
        </w:rPr>
        <w:t>,</w:t>
      </w:r>
      <w:r w:rsidRPr="00120553">
        <w:rPr>
          <w:rFonts w:ascii="Book Antiqua" w:hAnsi="Book Antiqua"/>
          <w:sz w:val="20"/>
          <w:szCs w:val="20"/>
        </w:rPr>
        <w:t xml:space="preserve"> and environmental sustainability illustrates the strategic significance of </w:t>
      </w:r>
      <w:r w:rsidR="00B05364">
        <w:rPr>
          <w:rFonts w:ascii="Book Antiqua" w:hAnsi="Book Antiqua"/>
          <w:sz w:val="20"/>
          <w:szCs w:val="20"/>
        </w:rPr>
        <w:t>agility in</w:t>
      </w:r>
      <w:r w:rsidRPr="00120553">
        <w:rPr>
          <w:rFonts w:ascii="Book Antiqua" w:hAnsi="Book Antiqua"/>
          <w:sz w:val="20"/>
          <w:szCs w:val="20"/>
        </w:rPr>
        <w:t xml:space="preserve"> gaining </w:t>
      </w:r>
      <w:r w:rsidR="00B05364">
        <w:rPr>
          <w:rFonts w:ascii="Book Antiqua" w:hAnsi="Book Antiqua"/>
          <w:sz w:val="20"/>
          <w:szCs w:val="20"/>
        </w:rPr>
        <w:t xml:space="preserve">a </w:t>
      </w:r>
      <w:r w:rsidRPr="00120553">
        <w:rPr>
          <w:rFonts w:ascii="Book Antiqua" w:hAnsi="Book Antiqua"/>
          <w:sz w:val="20"/>
          <w:szCs w:val="20"/>
        </w:rPr>
        <w:t>competitive advantage and ensuring the long-term success of organizations.</w:t>
      </w:r>
    </w:p>
    <w:p w14:paraId="43D9AF29" w14:textId="77777777" w:rsidR="00790B43" w:rsidRPr="00B071D6" w:rsidRDefault="00790B43" w:rsidP="00790B43">
      <w:pPr>
        <w:rPr>
          <w:rFonts w:cs="Times New Roman"/>
          <w:b/>
          <w:bCs/>
          <w:iCs/>
          <w:color w:val="C45911" w:themeColor="accent2" w:themeShade="BF"/>
          <w:szCs w:val="20"/>
        </w:rPr>
      </w:pPr>
      <w:r w:rsidRPr="00B071D6">
        <w:rPr>
          <w:rFonts w:cs="Times New Roman"/>
          <w:b/>
          <w:bCs/>
          <w:iCs/>
          <w:color w:val="C45911" w:themeColor="accent2" w:themeShade="BF"/>
          <w:szCs w:val="20"/>
        </w:rPr>
        <w:t>2.5 Environmental Sustainability in the RMG Sector</w:t>
      </w:r>
    </w:p>
    <w:p w14:paraId="72805CA7" w14:textId="77777777" w:rsidR="00424237" w:rsidRDefault="00790B43" w:rsidP="00790B43">
      <w:pPr>
        <w:rPr>
          <w:rFonts w:eastAsia="Times New Roman" w:cs="Times New Roman"/>
          <w:szCs w:val="20"/>
        </w:rPr>
      </w:pPr>
      <w:r w:rsidRPr="00120553">
        <w:rPr>
          <w:rFonts w:eastAsia="Times New Roman" w:cs="Times New Roman"/>
          <w:szCs w:val="20"/>
        </w:rPr>
        <w:t xml:space="preserve">Traditional practices in the supply chain have created </w:t>
      </w:r>
      <w:r w:rsidR="00B05364">
        <w:rPr>
          <w:rFonts w:eastAsia="Times New Roman" w:cs="Times New Roman"/>
          <w:szCs w:val="20"/>
        </w:rPr>
        <w:t>environmental</w:t>
      </w:r>
      <w:r w:rsidRPr="00120553">
        <w:rPr>
          <w:rFonts w:eastAsia="Times New Roman" w:cs="Times New Roman"/>
          <w:szCs w:val="20"/>
        </w:rPr>
        <w:t xml:space="preserve"> challenges in the ready-made garment (RMG) industry, more significantly in developing economies such as Bangladesh. Rapidly pushing forward these practices results in </w:t>
      </w:r>
      <w:r w:rsidR="00B05364">
        <w:rPr>
          <w:rFonts w:eastAsia="Times New Roman" w:cs="Times New Roman"/>
          <w:szCs w:val="20"/>
        </w:rPr>
        <w:t>over-generated</w:t>
      </w:r>
      <w:r w:rsidRPr="00120553">
        <w:rPr>
          <w:rFonts w:eastAsia="Times New Roman" w:cs="Times New Roman"/>
          <w:szCs w:val="20"/>
        </w:rPr>
        <w:t xml:space="preserve"> waste, excessive usage of water</w:t>
      </w:r>
      <w:r w:rsidR="00B05364">
        <w:rPr>
          <w:rFonts w:eastAsia="Times New Roman" w:cs="Times New Roman"/>
          <w:szCs w:val="20"/>
        </w:rPr>
        <w:t>,</w:t>
      </w:r>
      <w:r w:rsidRPr="00120553">
        <w:rPr>
          <w:rFonts w:eastAsia="Times New Roman" w:cs="Times New Roman"/>
          <w:szCs w:val="20"/>
        </w:rPr>
        <w:t xml:space="preserve"> </w:t>
      </w:r>
      <w:r w:rsidR="00B05364">
        <w:rPr>
          <w:rFonts w:eastAsia="Times New Roman" w:cs="Times New Roman"/>
          <w:szCs w:val="20"/>
        </w:rPr>
        <w:t>and chemical</w:t>
      </w:r>
      <w:r w:rsidRPr="00120553">
        <w:rPr>
          <w:rFonts w:eastAsia="Times New Roman" w:cs="Times New Roman"/>
          <w:szCs w:val="20"/>
        </w:rPr>
        <w:t xml:space="preserve"> </w:t>
      </w:r>
      <w:r w:rsidR="00B05364">
        <w:rPr>
          <w:rFonts w:eastAsia="Times New Roman" w:cs="Times New Roman"/>
          <w:szCs w:val="20"/>
        </w:rPr>
        <w:t>residue</w:t>
      </w:r>
      <w:r w:rsidRPr="00120553">
        <w:rPr>
          <w:rFonts w:eastAsia="Times New Roman" w:cs="Times New Roman"/>
          <w:szCs w:val="20"/>
        </w:rPr>
        <w:t xml:space="preserve"> pollution</w:t>
      </w:r>
      <w:r w:rsidR="00B05364">
        <w:rPr>
          <w:rFonts w:eastAsia="Times New Roman" w:cs="Times New Roman"/>
          <w:szCs w:val="20"/>
        </w:rPr>
        <w:t>,</w:t>
      </w:r>
      <w:r w:rsidRPr="00120553">
        <w:rPr>
          <w:rFonts w:eastAsia="Times New Roman" w:cs="Times New Roman"/>
          <w:szCs w:val="20"/>
        </w:rPr>
        <w:t xml:space="preserve"> which could be harmful to local ecosystems and communities</w:t>
      </w:r>
      <w:r w:rsidR="00424237">
        <w:rPr>
          <w:rFonts w:eastAsia="Times New Roman" w:cs="Times New Roman"/>
          <w:szCs w:val="20"/>
        </w:rPr>
        <w:t xml:space="preserve"> [38].</w:t>
      </w:r>
    </w:p>
    <w:p w14:paraId="6C687D3E" w14:textId="77777777" w:rsidR="00424237" w:rsidRDefault="00424237" w:rsidP="00790B43">
      <w:pPr>
        <w:rPr>
          <w:rFonts w:eastAsia="Times New Roman" w:cs="Times New Roman"/>
          <w:szCs w:val="20"/>
        </w:rPr>
      </w:pPr>
    </w:p>
    <w:p w14:paraId="1121817A" w14:textId="416F7857" w:rsidR="00790B43" w:rsidRDefault="00B05364" w:rsidP="00790B43">
      <w:pPr>
        <w:rPr>
          <w:rFonts w:eastAsia="Times New Roman" w:cs="Times New Roman"/>
          <w:szCs w:val="20"/>
        </w:rPr>
      </w:pPr>
      <w:r>
        <w:rPr>
          <w:rFonts w:eastAsia="Times New Roman" w:cs="Times New Roman"/>
          <w:szCs w:val="20"/>
        </w:rPr>
        <w:t xml:space="preserve"> </w:t>
      </w:r>
      <w:r w:rsidR="00A32B07" w:rsidRPr="00120553">
        <w:rPr>
          <w:rFonts w:eastAsia="Times New Roman" w:cs="Times New Roman"/>
          <w:szCs w:val="20"/>
        </w:rPr>
        <w:t>states</w:t>
      </w:r>
      <w:r w:rsidR="00790B43" w:rsidRPr="00120553">
        <w:rPr>
          <w:rFonts w:eastAsia="Times New Roman" w:cs="Times New Roman"/>
          <w:szCs w:val="20"/>
        </w:rPr>
        <w:t xml:space="preserve"> that the RMG sector greatly contributes </w:t>
      </w:r>
      <w:r>
        <w:rPr>
          <w:rFonts w:eastAsia="Times New Roman" w:cs="Times New Roman"/>
          <w:szCs w:val="20"/>
        </w:rPr>
        <w:t>to environmental</w:t>
      </w:r>
      <w:r w:rsidR="00790B43" w:rsidRPr="00120553">
        <w:rPr>
          <w:rFonts w:eastAsia="Times New Roman" w:cs="Times New Roman"/>
          <w:szCs w:val="20"/>
        </w:rPr>
        <w:t xml:space="preserve"> pollution through </w:t>
      </w:r>
      <w:r>
        <w:rPr>
          <w:rFonts w:eastAsia="Times New Roman" w:cs="Times New Roman"/>
          <w:szCs w:val="20"/>
        </w:rPr>
        <w:t xml:space="preserve">the </w:t>
      </w:r>
      <w:r w:rsidR="00790B43" w:rsidRPr="00120553">
        <w:rPr>
          <w:rFonts w:eastAsia="Times New Roman" w:cs="Times New Roman"/>
          <w:szCs w:val="20"/>
        </w:rPr>
        <w:t xml:space="preserve">discharge of effluents generated through outdated production </w:t>
      </w:r>
      <w:r>
        <w:rPr>
          <w:rFonts w:eastAsia="Times New Roman" w:cs="Times New Roman"/>
          <w:szCs w:val="20"/>
        </w:rPr>
        <w:t>mechanisms</w:t>
      </w:r>
      <w:r w:rsidR="00790B43" w:rsidRPr="00120553">
        <w:rPr>
          <w:rFonts w:eastAsia="Times New Roman" w:cs="Times New Roman"/>
          <w:szCs w:val="20"/>
        </w:rPr>
        <w:t xml:space="preserve"> and inefficient disposal of waste. The inconsistent sustainability within an exponential industrial growth of </w:t>
      </w:r>
      <w:r w:rsidRPr="00120553">
        <w:rPr>
          <w:rFonts w:eastAsia="Times New Roman" w:cs="Times New Roman"/>
          <w:szCs w:val="20"/>
        </w:rPr>
        <w:t>industry</w:t>
      </w:r>
      <w:r w:rsidR="00790B43" w:rsidRPr="00120553">
        <w:rPr>
          <w:rFonts w:eastAsia="Times New Roman" w:cs="Times New Roman"/>
          <w:szCs w:val="20"/>
        </w:rPr>
        <w:t xml:space="preserve"> has also come with severe environmental impacts</w:t>
      </w:r>
      <w:r w:rsidR="00790B43" w:rsidRPr="00120553">
        <w:rPr>
          <w:rFonts w:eastAsia="Times New Roman" w:cs="Times New Roman"/>
          <w:szCs w:val="20"/>
        </w:rPr>
        <w:t> </w:t>
      </w:r>
      <w:r w:rsidR="00790B43" w:rsidRPr="00120553">
        <w:rPr>
          <w:rFonts w:eastAsia="Times New Roman" w:cs="Times New Roman"/>
          <w:szCs w:val="20"/>
        </w:rPr>
        <w:t>such as water scarcities, soil pollution</w:t>
      </w:r>
      <w:r>
        <w:rPr>
          <w:rFonts w:eastAsia="Times New Roman" w:cs="Times New Roman"/>
          <w:szCs w:val="20"/>
        </w:rPr>
        <w:t>,</w:t>
      </w:r>
      <w:r w:rsidR="00790B43" w:rsidRPr="00120553">
        <w:rPr>
          <w:rFonts w:eastAsia="Times New Roman" w:cs="Times New Roman"/>
          <w:szCs w:val="20"/>
        </w:rPr>
        <w:t xml:space="preserve"> and so on </w:t>
      </w:r>
      <w:r>
        <w:rPr>
          <w:rFonts w:eastAsia="Times New Roman" w:cs="Times New Roman"/>
          <w:szCs w:val="20"/>
        </w:rPr>
        <w:t>[39]</w:t>
      </w:r>
      <w:r w:rsidR="00790B43" w:rsidRPr="00120553">
        <w:rPr>
          <w:rFonts w:eastAsia="Times New Roman" w:cs="Times New Roman"/>
          <w:szCs w:val="20"/>
        </w:rPr>
        <w:t>.</w:t>
      </w:r>
    </w:p>
    <w:p w14:paraId="308C15ED" w14:textId="77777777" w:rsidR="00B071D6" w:rsidRPr="00120553" w:rsidRDefault="00B071D6" w:rsidP="00790B43">
      <w:pPr>
        <w:rPr>
          <w:rFonts w:cs="Times New Roman"/>
          <w:b/>
          <w:bCs/>
          <w:i/>
          <w:color w:val="C45911" w:themeColor="accent2" w:themeShade="BF"/>
          <w:szCs w:val="20"/>
        </w:rPr>
      </w:pPr>
    </w:p>
    <w:p w14:paraId="3B1378D8" w14:textId="77777777" w:rsidR="00424237" w:rsidRDefault="00790B43" w:rsidP="00790B43">
      <w:pPr>
        <w:tabs>
          <w:tab w:val="num" w:pos="720"/>
        </w:tabs>
        <w:rPr>
          <w:rFonts w:cs="Times New Roman"/>
          <w:bCs/>
          <w:szCs w:val="20"/>
        </w:rPr>
      </w:pPr>
      <w:r w:rsidRPr="00120553">
        <w:rPr>
          <w:rFonts w:cs="Times New Roman"/>
          <w:bCs/>
          <w:szCs w:val="20"/>
        </w:rPr>
        <w:t xml:space="preserve">In this context, there is an increasing interest in the GSCM practices to promote </w:t>
      </w:r>
      <w:r w:rsidR="00B05364" w:rsidRPr="00120553">
        <w:rPr>
          <w:rFonts w:cs="Times New Roman"/>
          <w:bCs/>
          <w:szCs w:val="20"/>
        </w:rPr>
        <w:t>environmental</w:t>
      </w:r>
      <w:r w:rsidRPr="00120553">
        <w:rPr>
          <w:rFonts w:cs="Times New Roman"/>
          <w:bCs/>
          <w:szCs w:val="20"/>
        </w:rPr>
        <w:t xml:space="preserve"> performance </w:t>
      </w:r>
      <w:r w:rsidR="00B05364">
        <w:rPr>
          <w:rFonts w:cs="Times New Roman"/>
          <w:bCs/>
          <w:szCs w:val="20"/>
        </w:rPr>
        <w:t>in the</w:t>
      </w:r>
      <w:r w:rsidRPr="00120553">
        <w:rPr>
          <w:rFonts w:cs="Times New Roman"/>
          <w:bCs/>
          <w:szCs w:val="20"/>
        </w:rPr>
        <w:t xml:space="preserve"> RMG sector. </w:t>
      </w:r>
      <w:r w:rsidR="00B05364">
        <w:rPr>
          <w:rFonts w:cs="Times New Roman"/>
          <w:bCs/>
          <w:szCs w:val="20"/>
        </w:rPr>
        <w:t xml:space="preserve">[40] </w:t>
      </w:r>
      <w:r w:rsidRPr="00120553">
        <w:rPr>
          <w:rFonts w:cs="Times New Roman"/>
          <w:bCs/>
          <w:szCs w:val="20"/>
        </w:rPr>
        <w:t xml:space="preserve">examine </w:t>
      </w:r>
      <w:r w:rsidR="00B05364">
        <w:rPr>
          <w:rFonts w:cs="Times New Roman"/>
          <w:bCs/>
          <w:szCs w:val="20"/>
        </w:rPr>
        <w:t>many</w:t>
      </w:r>
      <w:r w:rsidRPr="00120553">
        <w:rPr>
          <w:rFonts w:cs="Times New Roman"/>
          <w:bCs/>
          <w:szCs w:val="20"/>
        </w:rPr>
        <w:t xml:space="preserve"> GSCM strategies, including eco-design, sustainable sourcing</w:t>
      </w:r>
      <w:r w:rsidR="00B05364">
        <w:rPr>
          <w:rFonts w:cs="Times New Roman"/>
          <w:bCs/>
          <w:szCs w:val="20"/>
        </w:rPr>
        <w:t>,</w:t>
      </w:r>
      <w:r w:rsidRPr="00120553">
        <w:rPr>
          <w:rFonts w:cs="Times New Roman"/>
          <w:bCs/>
          <w:szCs w:val="20"/>
        </w:rPr>
        <w:t xml:space="preserve"> and waste minimization,</w:t>
      </w:r>
      <w:r w:rsidR="00B05364">
        <w:rPr>
          <w:rFonts w:cs="Times New Roman"/>
          <w:bCs/>
          <w:szCs w:val="20"/>
        </w:rPr>
        <w:t xml:space="preserve"> </w:t>
      </w:r>
      <w:r w:rsidRPr="00120553">
        <w:rPr>
          <w:rFonts w:cs="Times New Roman"/>
          <w:bCs/>
          <w:szCs w:val="20"/>
        </w:rPr>
        <w:t> </w:t>
      </w:r>
      <w:r w:rsidRPr="00120553">
        <w:rPr>
          <w:rFonts w:cs="Times New Roman"/>
          <w:bCs/>
          <w:szCs w:val="20"/>
        </w:rPr>
        <w:t xml:space="preserve">that are found to have a strong positive impact on environmental measures. The existing studies suggest that the firms which </w:t>
      </w:r>
      <w:r w:rsidR="00FC509E" w:rsidRPr="00120553">
        <w:rPr>
          <w:rFonts w:cs="Times New Roman"/>
          <w:bCs/>
          <w:szCs w:val="20"/>
        </w:rPr>
        <w:t>implement</w:t>
      </w:r>
      <w:r w:rsidRPr="00120553">
        <w:rPr>
          <w:rFonts w:cs="Times New Roman"/>
          <w:bCs/>
          <w:szCs w:val="20"/>
        </w:rPr>
        <w:t xml:space="preserve"> GSCM is not only reducing its </w:t>
      </w:r>
      <w:r w:rsidR="007E4A99" w:rsidRPr="00120553">
        <w:rPr>
          <w:rFonts w:cs="Times New Roman"/>
          <w:bCs/>
          <w:szCs w:val="20"/>
        </w:rPr>
        <w:t>footprint</w:t>
      </w:r>
      <w:r w:rsidRPr="00120553">
        <w:rPr>
          <w:rFonts w:cs="Times New Roman"/>
          <w:bCs/>
          <w:szCs w:val="20"/>
        </w:rPr>
        <w:t xml:space="preserve"> on the ecology but also it is increasing its competitive advantage</w:t>
      </w:r>
      <w:r w:rsidR="007E4A99">
        <w:rPr>
          <w:rFonts w:cs="Times New Roman"/>
          <w:bCs/>
          <w:szCs w:val="20"/>
        </w:rPr>
        <w:t xml:space="preserve"> </w:t>
      </w:r>
      <w:r w:rsidRPr="00120553">
        <w:rPr>
          <w:rFonts w:cs="Times New Roman"/>
          <w:bCs/>
          <w:szCs w:val="20"/>
        </w:rPr>
        <w:t xml:space="preserve">(competitive even/edge) by satisfying the more and more the demand of the market </w:t>
      </w:r>
      <w:r w:rsidR="00A32B07" w:rsidRPr="00120553">
        <w:rPr>
          <w:rFonts w:cs="Times New Roman"/>
          <w:bCs/>
          <w:szCs w:val="20"/>
        </w:rPr>
        <w:t>especially</w:t>
      </w:r>
      <w:r w:rsidRPr="00120553">
        <w:rPr>
          <w:rFonts w:cs="Times New Roman"/>
          <w:bCs/>
          <w:szCs w:val="20"/>
        </w:rPr>
        <w:t xml:space="preserve"> from consumers of the potential and the regulatory </w:t>
      </w:r>
      <w:r w:rsidR="00B05364">
        <w:rPr>
          <w:rFonts w:cs="Times New Roman"/>
          <w:bCs/>
          <w:szCs w:val="20"/>
        </w:rPr>
        <w:t>[40]</w:t>
      </w:r>
      <w:r w:rsidR="00424237">
        <w:rPr>
          <w:rFonts w:cs="Times New Roman"/>
          <w:bCs/>
          <w:szCs w:val="20"/>
        </w:rPr>
        <w:t>.</w:t>
      </w:r>
      <w:r w:rsidR="00B05364">
        <w:rPr>
          <w:rFonts w:cs="Times New Roman"/>
          <w:bCs/>
          <w:szCs w:val="20"/>
        </w:rPr>
        <w:t xml:space="preserve"> </w:t>
      </w:r>
      <w:r w:rsidR="00FC509E" w:rsidRPr="00120553">
        <w:rPr>
          <w:rFonts w:cs="Times New Roman"/>
          <w:bCs/>
          <w:szCs w:val="20"/>
        </w:rPr>
        <w:t>transition</w:t>
      </w:r>
      <w:r w:rsidRPr="00120553">
        <w:rPr>
          <w:rFonts w:cs="Times New Roman"/>
          <w:bCs/>
          <w:szCs w:val="20"/>
        </w:rPr>
        <w:t xml:space="preserve">(the increase and the potential). </w:t>
      </w:r>
    </w:p>
    <w:p w14:paraId="78AEEFC7" w14:textId="77777777" w:rsidR="00424237" w:rsidRDefault="00424237" w:rsidP="00790B43">
      <w:pPr>
        <w:tabs>
          <w:tab w:val="num" w:pos="720"/>
        </w:tabs>
        <w:rPr>
          <w:rFonts w:cs="Times New Roman"/>
          <w:bCs/>
          <w:szCs w:val="20"/>
        </w:rPr>
      </w:pPr>
    </w:p>
    <w:p w14:paraId="4D70E708" w14:textId="750FC2BE" w:rsidR="00790B43" w:rsidRDefault="00790B43" w:rsidP="00790B43">
      <w:pPr>
        <w:tabs>
          <w:tab w:val="num" w:pos="720"/>
        </w:tabs>
        <w:rPr>
          <w:rFonts w:cs="Times New Roman"/>
          <w:bCs/>
          <w:szCs w:val="20"/>
        </w:rPr>
      </w:pPr>
      <w:r w:rsidRPr="00120553">
        <w:rPr>
          <w:rFonts w:cs="Times New Roman"/>
          <w:bCs/>
          <w:szCs w:val="20"/>
        </w:rPr>
        <w:t>In addition, the practice of environmental performance measurement</w:t>
      </w:r>
      <w:r w:rsidR="00FC509E">
        <w:rPr>
          <w:rFonts w:cs="Times New Roman"/>
          <w:bCs/>
          <w:szCs w:val="20"/>
        </w:rPr>
        <w:t>,</w:t>
      </w:r>
      <w:r w:rsidRPr="00120553">
        <w:rPr>
          <w:rFonts w:cs="Times New Roman"/>
          <w:bCs/>
          <w:szCs w:val="20"/>
        </w:rPr>
        <w:t xml:space="preserve"> like calculation of carbon footprint and Life Cycle Assessment (LCA)</w:t>
      </w:r>
      <w:r w:rsidR="00FC509E">
        <w:rPr>
          <w:rFonts w:cs="Times New Roman"/>
          <w:bCs/>
          <w:szCs w:val="20"/>
        </w:rPr>
        <w:t>,</w:t>
      </w:r>
      <w:r w:rsidRPr="00120553">
        <w:rPr>
          <w:rFonts w:cs="Times New Roman"/>
          <w:bCs/>
          <w:szCs w:val="20"/>
        </w:rPr>
        <w:t xml:space="preserve"> </w:t>
      </w:r>
      <w:r w:rsidR="00B05364">
        <w:rPr>
          <w:rFonts w:cs="Times New Roman"/>
          <w:bCs/>
          <w:szCs w:val="20"/>
        </w:rPr>
        <w:t>enables</w:t>
      </w:r>
      <w:r w:rsidRPr="00120553">
        <w:rPr>
          <w:rFonts w:cs="Times New Roman"/>
          <w:bCs/>
          <w:szCs w:val="20"/>
        </w:rPr>
        <w:t xml:space="preserve"> companies to </w:t>
      </w:r>
      <w:r w:rsidR="00B05364">
        <w:rPr>
          <w:rFonts w:cs="Times New Roman"/>
          <w:bCs/>
          <w:szCs w:val="20"/>
        </w:rPr>
        <w:t>measure their</w:t>
      </w:r>
      <w:r w:rsidRPr="00120553">
        <w:rPr>
          <w:rFonts w:cs="Times New Roman"/>
          <w:bCs/>
          <w:szCs w:val="20"/>
        </w:rPr>
        <w:t xml:space="preserve"> sustainability performance and benchmark where and how to improve </w:t>
      </w:r>
      <w:r w:rsidR="00B05364">
        <w:rPr>
          <w:rFonts w:cs="Times New Roman"/>
          <w:bCs/>
          <w:szCs w:val="20"/>
        </w:rPr>
        <w:t>[41]</w:t>
      </w:r>
      <w:r w:rsidRPr="00120553">
        <w:rPr>
          <w:rFonts w:cs="Times New Roman"/>
          <w:bCs/>
          <w:szCs w:val="20"/>
        </w:rPr>
        <w:t>.</w:t>
      </w:r>
    </w:p>
    <w:p w14:paraId="6674E6D5" w14:textId="77777777" w:rsidR="00B071D6" w:rsidRPr="00120553" w:rsidRDefault="00B071D6" w:rsidP="00790B43">
      <w:pPr>
        <w:tabs>
          <w:tab w:val="num" w:pos="720"/>
        </w:tabs>
        <w:rPr>
          <w:rFonts w:cs="Times New Roman"/>
          <w:bCs/>
          <w:szCs w:val="20"/>
        </w:rPr>
      </w:pPr>
    </w:p>
    <w:p w14:paraId="0A653064" w14:textId="77777777" w:rsidR="00424237" w:rsidRDefault="00790B43" w:rsidP="00790B43">
      <w:pPr>
        <w:tabs>
          <w:tab w:val="num" w:pos="720"/>
        </w:tabs>
        <w:rPr>
          <w:rFonts w:cs="Times New Roman"/>
          <w:bCs/>
          <w:szCs w:val="20"/>
        </w:rPr>
      </w:pPr>
      <w:r w:rsidRPr="00120553">
        <w:rPr>
          <w:rFonts w:cs="Times New Roman"/>
          <w:bCs/>
          <w:szCs w:val="20"/>
        </w:rPr>
        <w:t xml:space="preserve">Connecting AI and supply </w:t>
      </w:r>
      <w:r w:rsidR="00424237" w:rsidRPr="00120553">
        <w:rPr>
          <w:rFonts w:cs="Times New Roman"/>
          <w:bCs/>
          <w:szCs w:val="20"/>
        </w:rPr>
        <w:t>transition (</w:t>
      </w:r>
      <w:proofErr w:type="spellStart"/>
      <w:r w:rsidRPr="00120553">
        <w:rPr>
          <w:rFonts w:cs="Times New Roman"/>
          <w:bCs/>
          <w:szCs w:val="20"/>
        </w:rPr>
        <w:t>ement</w:t>
      </w:r>
      <w:proofErr w:type="spellEnd"/>
      <w:r w:rsidRPr="00120553">
        <w:rPr>
          <w:rFonts w:cs="Times New Roman"/>
          <w:bCs/>
          <w:szCs w:val="20"/>
        </w:rPr>
        <w:t xml:space="preserve"> is a </w:t>
      </w:r>
      <w:r w:rsidR="00FC509E">
        <w:rPr>
          <w:rFonts w:cs="Times New Roman"/>
          <w:bCs/>
          <w:szCs w:val="20"/>
        </w:rPr>
        <w:t>game-changer</w:t>
      </w:r>
      <w:r w:rsidRPr="00120553">
        <w:rPr>
          <w:rFonts w:cs="Times New Roman"/>
          <w:bCs/>
          <w:szCs w:val="20"/>
        </w:rPr>
        <w:t xml:space="preserve"> to advance sustainability </w:t>
      </w:r>
      <w:r w:rsidR="00FC509E">
        <w:rPr>
          <w:rFonts w:cs="Times New Roman"/>
          <w:bCs/>
          <w:szCs w:val="20"/>
        </w:rPr>
        <w:t>in the</w:t>
      </w:r>
      <w:r w:rsidRPr="00120553">
        <w:rPr>
          <w:rFonts w:cs="Times New Roman"/>
          <w:bCs/>
          <w:szCs w:val="20"/>
        </w:rPr>
        <w:t xml:space="preserve"> RMG industry. Supply </w:t>
      </w:r>
      <w:r w:rsidR="00FC509E">
        <w:rPr>
          <w:rFonts w:cs="Times New Roman"/>
          <w:bCs/>
          <w:szCs w:val="20"/>
        </w:rPr>
        <w:t>chain flexibility</w:t>
      </w:r>
      <w:r w:rsidRPr="00120553">
        <w:rPr>
          <w:rFonts w:cs="Times New Roman"/>
          <w:bCs/>
          <w:szCs w:val="20"/>
        </w:rPr>
        <w:t xml:space="preserve">, </w:t>
      </w:r>
      <w:r w:rsidR="00FC509E" w:rsidRPr="00120553">
        <w:rPr>
          <w:rFonts w:cs="Times New Roman"/>
          <w:bCs/>
          <w:szCs w:val="20"/>
        </w:rPr>
        <w:t>using</w:t>
      </w:r>
      <w:r w:rsidRPr="00120553">
        <w:rPr>
          <w:rFonts w:cs="Times New Roman"/>
          <w:bCs/>
          <w:szCs w:val="20"/>
        </w:rPr>
        <w:t xml:space="preserve"> AI technologies, can give firms greater ability to meet market demand while mitigating both scope and scale waste. For example, AI can fine-tune asset and production planning, minimizing surplus inventory and its waste</w:t>
      </w:r>
      <w:r w:rsidRPr="00120553">
        <w:rPr>
          <w:rFonts w:cs="Times New Roman"/>
          <w:bCs/>
          <w:szCs w:val="20"/>
        </w:rPr>
        <w:t> </w:t>
      </w:r>
      <w:r w:rsidR="00B05364">
        <w:rPr>
          <w:rFonts w:cs="Times New Roman"/>
          <w:bCs/>
          <w:szCs w:val="20"/>
        </w:rPr>
        <w:t>[42]</w:t>
      </w:r>
      <w:r w:rsidRPr="00120553">
        <w:rPr>
          <w:rFonts w:cs="Times New Roman"/>
          <w:bCs/>
          <w:szCs w:val="20"/>
        </w:rPr>
        <w:t xml:space="preserve">. </w:t>
      </w:r>
    </w:p>
    <w:p w14:paraId="3FF13E2B" w14:textId="77777777" w:rsidR="00424237" w:rsidRDefault="00424237" w:rsidP="00790B43">
      <w:pPr>
        <w:tabs>
          <w:tab w:val="num" w:pos="720"/>
        </w:tabs>
        <w:rPr>
          <w:rFonts w:cs="Times New Roman"/>
          <w:bCs/>
          <w:szCs w:val="20"/>
        </w:rPr>
      </w:pPr>
    </w:p>
    <w:p w14:paraId="7F5C0335" w14:textId="66FE2C2A" w:rsidR="00790B43" w:rsidRDefault="00790B43" w:rsidP="00790B43">
      <w:pPr>
        <w:tabs>
          <w:tab w:val="num" w:pos="720"/>
        </w:tabs>
        <w:rPr>
          <w:rFonts w:cs="Times New Roman"/>
          <w:bCs/>
          <w:szCs w:val="20"/>
        </w:rPr>
      </w:pPr>
      <w:r w:rsidRPr="00120553">
        <w:rPr>
          <w:rFonts w:cs="Times New Roman"/>
          <w:bCs/>
          <w:szCs w:val="20"/>
        </w:rPr>
        <w:t xml:space="preserve">Furthermore, where there is technological readiness and organizational agility, enabling AI-powered </w:t>
      </w:r>
      <w:r w:rsidR="00FC509E">
        <w:rPr>
          <w:rFonts w:cs="Times New Roman"/>
          <w:bCs/>
          <w:szCs w:val="20"/>
        </w:rPr>
        <w:t>real-time data</w:t>
      </w:r>
      <w:r w:rsidRPr="00120553">
        <w:rPr>
          <w:rFonts w:cs="Times New Roman"/>
          <w:bCs/>
          <w:szCs w:val="20"/>
        </w:rPr>
        <w:t xml:space="preserve"> sharing throughout the supply chain could help to enhance levels of transparency and collaboration between participants </w:t>
      </w:r>
      <w:r w:rsidR="00790F02">
        <w:rPr>
          <w:rFonts w:cs="Times New Roman"/>
          <w:bCs/>
          <w:szCs w:val="20"/>
        </w:rPr>
        <w:t>[43]</w:t>
      </w:r>
      <w:r w:rsidRPr="00120553">
        <w:rPr>
          <w:rFonts w:cs="Times New Roman"/>
          <w:bCs/>
          <w:szCs w:val="20"/>
        </w:rPr>
        <w:t xml:space="preserve">. This approach not only improves efficiency and productivity but also contributes to inculcating a culture of sustainability by inducing practices towards considering environmental concerns across </w:t>
      </w:r>
      <w:r w:rsidR="007E4A99">
        <w:rPr>
          <w:rFonts w:cs="Times New Roman"/>
          <w:bCs/>
          <w:szCs w:val="20"/>
        </w:rPr>
        <w:t xml:space="preserve">the </w:t>
      </w:r>
      <w:r w:rsidRPr="00120553">
        <w:rPr>
          <w:rFonts w:cs="Times New Roman"/>
          <w:bCs/>
          <w:szCs w:val="20"/>
        </w:rPr>
        <w:t xml:space="preserve">supply chain </w:t>
      </w:r>
      <w:r w:rsidR="00790F02">
        <w:rPr>
          <w:rFonts w:cs="Times New Roman"/>
          <w:bCs/>
          <w:szCs w:val="20"/>
        </w:rPr>
        <w:t>[43]</w:t>
      </w:r>
      <w:r w:rsidRPr="00120553">
        <w:rPr>
          <w:rFonts w:cs="Times New Roman"/>
          <w:bCs/>
          <w:szCs w:val="20"/>
        </w:rPr>
        <w:t>.</w:t>
      </w:r>
    </w:p>
    <w:p w14:paraId="596244A8" w14:textId="77777777" w:rsidR="00B071D6" w:rsidRPr="00120553" w:rsidRDefault="00B071D6" w:rsidP="00790B43">
      <w:pPr>
        <w:tabs>
          <w:tab w:val="num" w:pos="720"/>
        </w:tabs>
        <w:rPr>
          <w:rFonts w:cs="Times New Roman"/>
          <w:bCs/>
          <w:szCs w:val="20"/>
        </w:rPr>
      </w:pPr>
    </w:p>
    <w:p w14:paraId="60F67C14" w14:textId="77777777" w:rsidR="00424237" w:rsidRDefault="00790B43" w:rsidP="00790B43">
      <w:pPr>
        <w:tabs>
          <w:tab w:val="num" w:pos="720"/>
        </w:tabs>
        <w:rPr>
          <w:rFonts w:cs="Times New Roman"/>
          <w:bCs/>
          <w:szCs w:val="20"/>
        </w:rPr>
      </w:pPr>
      <w:r w:rsidRPr="00120553">
        <w:rPr>
          <w:rFonts w:cs="Times New Roman"/>
          <w:bCs/>
          <w:szCs w:val="20"/>
        </w:rPr>
        <w:t xml:space="preserve">Furthermore, a good foundation in technology readiness and a strong </w:t>
      </w:r>
      <w:r w:rsidR="007E4A99">
        <w:rPr>
          <w:rFonts w:cs="Times New Roman"/>
          <w:bCs/>
          <w:szCs w:val="20"/>
        </w:rPr>
        <w:t>sense of</w:t>
      </w:r>
      <w:r w:rsidRPr="00120553">
        <w:rPr>
          <w:rFonts w:cs="Times New Roman"/>
          <w:bCs/>
          <w:szCs w:val="20"/>
        </w:rPr>
        <w:t xml:space="preserve"> agile culture </w:t>
      </w:r>
      <w:r w:rsidR="007E4A99">
        <w:rPr>
          <w:rFonts w:cs="Times New Roman"/>
          <w:bCs/>
          <w:szCs w:val="20"/>
        </w:rPr>
        <w:t>are</w:t>
      </w:r>
      <w:r w:rsidRPr="00120553">
        <w:rPr>
          <w:rFonts w:cs="Times New Roman"/>
          <w:bCs/>
          <w:szCs w:val="20"/>
        </w:rPr>
        <w:t xml:space="preserve"> essential to implement AI successfully in the RMG industry. A Culture of Innovation and Continuous Improvement</w:t>
      </w:r>
      <w:r w:rsidR="007E4A99">
        <w:rPr>
          <w:rFonts w:cs="Times New Roman"/>
          <w:bCs/>
          <w:szCs w:val="20"/>
        </w:rPr>
        <w:t xml:space="preserve">: </w:t>
      </w:r>
      <w:r w:rsidRPr="00120553">
        <w:rPr>
          <w:rFonts w:cs="Times New Roman"/>
          <w:bCs/>
          <w:szCs w:val="20"/>
        </w:rPr>
        <w:t xml:space="preserve">Building a culture that embraces </w:t>
      </w:r>
      <w:r w:rsidR="00085B5F" w:rsidRPr="00120553">
        <w:rPr>
          <w:rFonts w:cs="Times New Roman"/>
          <w:bCs/>
          <w:szCs w:val="20"/>
        </w:rPr>
        <w:t>innovation,</w:t>
      </w:r>
      <w:r w:rsidRPr="00120553">
        <w:rPr>
          <w:rFonts w:cs="Times New Roman"/>
          <w:bCs/>
          <w:szCs w:val="20"/>
        </w:rPr>
        <w:t xml:space="preserve"> and continuous improvement is critical for </w:t>
      </w:r>
      <w:r w:rsidR="007E4A99">
        <w:rPr>
          <w:rFonts w:cs="Times New Roman"/>
          <w:bCs/>
          <w:szCs w:val="20"/>
        </w:rPr>
        <w:t>realizing the</w:t>
      </w:r>
      <w:r w:rsidRPr="00120553">
        <w:rPr>
          <w:rFonts w:cs="Times New Roman"/>
          <w:bCs/>
          <w:szCs w:val="20"/>
        </w:rPr>
        <w:t xml:space="preserve"> value of AI </w:t>
      </w:r>
      <w:r w:rsidR="00790F02">
        <w:rPr>
          <w:rFonts w:cs="Times New Roman"/>
          <w:bCs/>
          <w:szCs w:val="20"/>
        </w:rPr>
        <w:t>[44]</w:t>
      </w:r>
      <w:r w:rsidRPr="00120553">
        <w:rPr>
          <w:rFonts w:cs="Times New Roman"/>
          <w:bCs/>
          <w:szCs w:val="20"/>
        </w:rPr>
        <w:t>.</w:t>
      </w:r>
    </w:p>
    <w:p w14:paraId="6BE7CE47" w14:textId="77777777" w:rsidR="00424237" w:rsidRDefault="00424237" w:rsidP="00790B43">
      <w:pPr>
        <w:tabs>
          <w:tab w:val="num" w:pos="720"/>
        </w:tabs>
        <w:rPr>
          <w:rFonts w:cs="Times New Roman"/>
          <w:bCs/>
          <w:szCs w:val="20"/>
        </w:rPr>
      </w:pPr>
    </w:p>
    <w:p w14:paraId="07F3F847" w14:textId="6B02F7C2" w:rsidR="00790B43" w:rsidRPr="00120553" w:rsidRDefault="00790B43" w:rsidP="00790B43">
      <w:pPr>
        <w:tabs>
          <w:tab w:val="num" w:pos="720"/>
        </w:tabs>
        <w:rPr>
          <w:rFonts w:cs="Times New Roman"/>
          <w:bCs/>
          <w:szCs w:val="20"/>
        </w:rPr>
      </w:pPr>
      <w:r w:rsidRPr="00120553">
        <w:rPr>
          <w:rFonts w:cs="Times New Roman"/>
          <w:bCs/>
          <w:szCs w:val="20"/>
        </w:rPr>
        <w:t xml:space="preserve"> With technology and sustainability in harmony, RMG companies </w:t>
      </w:r>
      <w:r w:rsidR="007E4A99">
        <w:rPr>
          <w:rFonts w:cs="Times New Roman"/>
          <w:bCs/>
          <w:szCs w:val="20"/>
        </w:rPr>
        <w:t>can forge</w:t>
      </w:r>
      <w:r w:rsidRPr="00120553">
        <w:rPr>
          <w:rFonts w:cs="Times New Roman"/>
          <w:bCs/>
          <w:szCs w:val="20"/>
        </w:rPr>
        <w:t xml:space="preserve"> a robust, sustainable supply chain that not only satisfies the consumer but also lends holistic support to environmentally recoverable movements </w:t>
      </w:r>
      <w:r w:rsidR="00790F02">
        <w:rPr>
          <w:rFonts w:cs="Times New Roman"/>
          <w:bCs/>
          <w:szCs w:val="20"/>
        </w:rPr>
        <w:t>[45]</w:t>
      </w:r>
      <w:r w:rsidRPr="00120553">
        <w:rPr>
          <w:rFonts w:cs="Times New Roman"/>
          <w:bCs/>
          <w:szCs w:val="20"/>
        </w:rPr>
        <w:t xml:space="preserve">. Thereby, the integration of GSCM practices and AI and technological readiness will help to improve the sustainability of the RMG of the country in terms </w:t>
      </w:r>
      <w:r w:rsidR="007E4A99">
        <w:rPr>
          <w:rFonts w:cs="Times New Roman"/>
          <w:bCs/>
          <w:szCs w:val="20"/>
        </w:rPr>
        <w:t>of the</w:t>
      </w:r>
      <w:r w:rsidRPr="00120553">
        <w:rPr>
          <w:rFonts w:cs="Times New Roman"/>
          <w:bCs/>
          <w:szCs w:val="20"/>
        </w:rPr>
        <w:t xml:space="preserve"> environmental challenges that the RMG sector is facing.</w:t>
      </w:r>
    </w:p>
    <w:p w14:paraId="35885E30" w14:textId="77777777" w:rsidR="00790B43" w:rsidRPr="00120553" w:rsidRDefault="00790B43" w:rsidP="00790B43">
      <w:pPr>
        <w:tabs>
          <w:tab w:val="num" w:pos="720"/>
        </w:tabs>
        <w:rPr>
          <w:rFonts w:cs="Times New Roman"/>
          <w:bCs/>
          <w:szCs w:val="20"/>
        </w:rPr>
      </w:pPr>
    </w:p>
    <w:p w14:paraId="4B921939" w14:textId="77777777" w:rsidR="00790B43" w:rsidRPr="00790B43" w:rsidRDefault="00790B43" w:rsidP="00790B43">
      <w:pPr>
        <w:tabs>
          <w:tab w:val="num" w:pos="720"/>
        </w:tabs>
        <w:rPr>
          <w:rFonts w:cs="Times New Roman"/>
          <w:b/>
          <w:color w:val="C45911" w:themeColor="accent2" w:themeShade="BF"/>
          <w:szCs w:val="20"/>
        </w:rPr>
      </w:pPr>
      <w:r w:rsidRPr="00790B43">
        <w:rPr>
          <w:rFonts w:cs="Times New Roman"/>
          <w:b/>
          <w:color w:val="C45911" w:themeColor="accent2" w:themeShade="BF"/>
          <w:szCs w:val="20"/>
        </w:rPr>
        <w:t>3. Conceptual Framework</w:t>
      </w:r>
    </w:p>
    <w:p w14:paraId="7EB6AF8F" w14:textId="77777777" w:rsidR="00424237" w:rsidRDefault="00790B43" w:rsidP="00790F02">
      <w:pPr>
        <w:tabs>
          <w:tab w:val="num" w:pos="720"/>
        </w:tabs>
        <w:rPr>
          <w:rFonts w:eastAsia="Times New Roman" w:cs="Times New Roman"/>
          <w:szCs w:val="20"/>
        </w:rPr>
      </w:pPr>
      <w:r w:rsidRPr="00120553">
        <w:rPr>
          <w:rFonts w:eastAsia="Times New Roman" w:cs="Times New Roman"/>
          <w:szCs w:val="20"/>
        </w:rPr>
        <w:t xml:space="preserve">The conceptual model based on the </w:t>
      </w:r>
      <w:r w:rsidR="007E4A99">
        <w:rPr>
          <w:rFonts w:eastAsia="Times New Roman" w:cs="Times New Roman"/>
          <w:szCs w:val="20"/>
        </w:rPr>
        <w:t>Resource-Based</w:t>
      </w:r>
      <w:r w:rsidRPr="00120553">
        <w:rPr>
          <w:rFonts w:eastAsia="Times New Roman" w:cs="Times New Roman"/>
          <w:szCs w:val="20"/>
        </w:rPr>
        <w:t xml:space="preserve"> View (RBV) and dynamic capability theories explains how AI-based supply chain integration (AI-SCI) promotes environmental sustainability in the RMG industry in Bangladesh through both </w:t>
      </w:r>
      <w:r w:rsidR="007E4A99">
        <w:rPr>
          <w:rFonts w:eastAsia="Times New Roman" w:cs="Times New Roman"/>
          <w:szCs w:val="20"/>
        </w:rPr>
        <w:t>direct and</w:t>
      </w:r>
      <w:r w:rsidRPr="00120553">
        <w:rPr>
          <w:rFonts w:eastAsia="Times New Roman" w:cs="Times New Roman"/>
          <w:szCs w:val="20"/>
        </w:rPr>
        <w:t xml:space="preserve"> indirect ways. H1: AI-SCI direct effect, i.e., predictive analytics, real-time data processing, and automated decision making will facilitate operational efficiency and waste reduction, and </w:t>
      </w:r>
      <w:r w:rsidRPr="00120553">
        <w:rPr>
          <w:rFonts w:eastAsia="Times New Roman" w:cs="Times New Roman"/>
          <w:szCs w:val="20"/>
        </w:rPr>
        <w:lastRenderedPageBreak/>
        <w:t xml:space="preserve">thereby improve resource management, through more accurate demand prediction, and higher operational efficiency </w:t>
      </w:r>
      <w:r w:rsidR="00790F02">
        <w:rPr>
          <w:rFonts w:eastAsia="Times New Roman" w:cs="Times New Roman"/>
          <w:szCs w:val="20"/>
        </w:rPr>
        <w:t>[46]</w:t>
      </w:r>
      <w:r w:rsidRPr="00120553">
        <w:rPr>
          <w:rFonts w:eastAsia="Times New Roman" w:cs="Times New Roman"/>
          <w:szCs w:val="20"/>
        </w:rPr>
        <w:t xml:space="preserve">. </w:t>
      </w:r>
    </w:p>
    <w:p w14:paraId="7FADB0F2" w14:textId="77777777" w:rsidR="00424237" w:rsidRDefault="00424237" w:rsidP="00790F02">
      <w:pPr>
        <w:tabs>
          <w:tab w:val="num" w:pos="720"/>
        </w:tabs>
        <w:rPr>
          <w:rFonts w:eastAsia="Times New Roman" w:cs="Times New Roman"/>
          <w:szCs w:val="20"/>
        </w:rPr>
      </w:pPr>
    </w:p>
    <w:p w14:paraId="7DED464F" w14:textId="4179FB62" w:rsidR="00B071D6" w:rsidRDefault="00790B43" w:rsidP="00790F02">
      <w:pPr>
        <w:tabs>
          <w:tab w:val="num" w:pos="720"/>
        </w:tabs>
        <w:rPr>
          <w:rFonts w:eastAsia="Times New Roman" w:cs="Times New Roman"/>
          <w:szCs w:val="20"/>
        </w:rPr>
      </w:pPr>
      <w:r w:rsidRPr="00120553">
        <w:rPr>
          <w:rFonts w:eastAsia="Times New Roman" w:cs="Times New Roman"/>
          <w:szCs w:val="20"/>
        </w:rPr>
        <w:t xml:space="preserve">More implicitly, this relationship is mediated by technological readiness (H5) because AI technology adoption entails investments in digital infrastructure and workforce </w:t>
      </w:r>
      <w:r w:rsidR="007E4A99">
        <w:rPr>
          <w:rFonts w:eastAsia="Times New Roman" w:cs="Times New Roman"/>
          <w:szCs w:val="20"/>
        </w:rPr>
        <w:t>competencies</w:t>
      </w:r>
      <w:r w:rsidRPr="00120553">
        <w:rPr>
          <w:rFonts w:eastAsia="Times New Roman" w:cs="Times New Roman"/>
          <w:szCs w:val="20"/>
        </w:rPr>
        <w:t xml:space="preserve">, which </w:t>
      </w:r>
      <w:r w:rsidR="007E4A99">
        <w:rPr>
          <w:rFonts w:eastAsia="Times New Roman" w:cs="Times New Roman"/>
          <w:szCs w:val="20"/>
        </w:rPr>
        <w:t>tend</w:t>
      </w:r>
      <w:r w:rsidRPr="00120553">
        <w:rPr>
          <w:rFonts w:eastAsia="Times New Roman" w:cs="Times New Roman"/>
          <w:szCs w:val="20"/>
        </w:rPr>
        <w:t xml:space="preserve"> to enable the deployment of eco-efficient technologies such as </w:t>
      </w:r>
      <w:r w:rsidR="007E4A99">
        <w:rPr>
          <w:rFonts w:eastAsia="Times New Roman" w:cs="Times New Roman"/>
          <w:szCs w:val="20"/>
        </w:rPr>
        <w:t>AI-based</w:t>
      </w:r>
      <w:r w:rsidRPr="00120553">
        <w:rPr>
          <w:rFonts w:eastAsia="Times New Roman" w:cs="Times New Roman"/>
          <w:szCs w:val="20"/>
        </w:rPr>
        <w:t xml:space="preserve"> water recycling systems or energy optimization algorithms </w:t>
      </w:r>
      <w:r w:rsidR="00790F02">
        <w:rPr>
          <w:rFonts w:eastAsia="Times New Roman" w:cs="Times New Roman"/>
          <w:szCs w:val="20"/>
        </w:rPr>
        <w:t>[47]</w:t>
      </w:r>
      <w:r w:rsidRPr="00120553">
        <w:rPr>
          <w:rFonts w:eastAsia="Times New Roman" w:cs="Times New Roman"/>
          <w:szCs w:val="20"/>
        </w:rPr>
        <w:t>.</w:t>
      </w:r>
    </w:p>
    <w:p w14:paraId="665B2176" w14:textId="77777777" w:rsidR="00B071D6" w:rsidRDefault="00B071D6" w:rsidP="00790F02">
      <w:pPr>
        <w:tabs>
          <w:tab w:val="num" w:pos="720"/>
        </w:tabs>
        <w:rPr>
          <w:rFonts w:eastAsia="Times New Roman" w:cs="Times New Roman"/>
          <w:szCs w:val="20"/>
        </w:rPr>
      </w:pPr>
    </w:p>
    <w:p w14:paraId="45F6AD46" w14:textId="77777777" w:rsidR="00B071D6" w:rsidRDefault="00790B43" w:rsidP="00790F02">
      <w:pPr>
        <w:tabs>
          <w:tab w:val="num" w:pos="720"/>
        </w:tabs>
        <w:rPr>
          <w:rFonts w:eastAsia="Times New Roman" w:cs="Times New Roman"/>
          <w:szCs w:val="20"/>
        </w:rPr>
      </w:pPr>
      <w:r w:rsidRPr="00120553">
        <w:rPr>
          <w:rFonts w:eastAsia="Times New Roman" w:cs="Times New Roman"/>
          <w:szCs w:val="20"/>
        </w:rPr>
        <w:t xml:space="preserve"> At the same time, AI-SCI contributes to supply chain agility (H3) through a capability for timely market disturbance response via real-time analytics, which subsequently facilitates sustainability (H7) through the effort to dynamically react in a range of different ways – for instance, as in sustainable sourcing or waste-minimizing production scheduling </w:t>
      </w:r>
      <w:r w:rsidR="00790F02">
        <w:rPr>
          <w:rFonts w:eastAsia="Times New Roman" w:cs="Times New Roman"/>
          <w:szCs w:val="20"/>
        </w:rPr>
        <w:t>[48]</w:t>
      </w:r>
      <w:r w:rsidRPr="00120553">
        <w:rPr>
          <w:rFonts w:eastAsia="Times New Roman" w:cs="Times New Roman"/>
          <w:szCs w:val="20"/>
        </w:rPr>
        <w:t xml:space="preserve">. Supply chain agility has a direct positive effect on environmental performance (H6), through facilitating circular practices (such as fabric recycling) and ensuring compliance </w:t>
      </w:r>
      <w:r w:rsidR="007E4A99">
        <w:rPr>
          <w:rFonts w:eastAsia="Times New Roman" w:cs="Times New Roman"/>
          <w:szCs w:val="20"/>
        </w:rPr>
        <w:t>with changing</w:t>
      </w:r>
      <w:r w:rsidRPr="00120553">
        <w:rPr>
          <w:rFonts w:eastAsia="Times New Roman" w:cs="Times New Roman"/>
          <w:szCs w:val="20"/>
        </w:rPr>
        <w:t xml:space="preserve"> laws and regulations</w:t>
      </w:r>
      <w:r w:rsidR="00790F02">
        <w:rPr>
          <w:rFonts w:eastAsia="Times New Roman" w:cs="Times New Roman"/>
          <w:szCs w:val="20"/>
        </w:rPr>
        <w:t xml:space="preserve"> [49]</w:t>
      </w:r>
      <w:r w:rsidRPr="00120553">
        <w:rPr>
          <w:rFonts w:eastAsia="Times New Roman" w:cs="Times New Roman"/>
          <w:szCs w:val="20"/>
        </w:rPr>
        <w:t>.</w:t>
      </w:r>
    </w:p>
    <w:p w14:paraId="07F4037A" w14:textId="77777777" w:rsidR="00B071D6" w:rsidRDefault="00B071D6" w:rsidP="00790F02">
      <w:pPr>
        <w:tabs>
          <w:tab w:val="num" w:pos="720"/>
        </w:tabs>
        <w:rPr>
          <w:rFonts w:eastAsia="Times New Roman" w:cs="Times New Roman"/>
          <w:szCs w:val="20"/>
        </w:rPr>
      </w:pPr>
    </w:p>
    <w:p w14:paraId="14336DAF" w14:textId="77777777" w:rsidR="00424237" w:rsidRDefault="00790B43" w:rsidP="00790F02">
      <w:pPr>
        <w:tabs>
          <w:tab w:val="num" w:pos="720"/>
        </w:tabs>
        <w:rPr>
          <w:rFonts w:eastAsia="Times New Roman" w:cs="Times New Roman"/>
          <w:szCs w:val="20"/>
        </w:rPr>
      </w:pPr>
      <w:r w:rsidRPr="00120553">
        <w:rPr>
          <w:rFonts w:eastAsia="Times New Roman" w:cs="Times New Roman"/>
          <w:szCs w:val="20"/>
        </w:rPr>
        <w:t xml:space="preserve"> From the RBV perspective, AI-SCI is a strategic</w:t>
      </w:r>
      <w:r w:rsidRPr="00120553">
        <w:rPr>
          <w:rFonts w:eastAsia="Times New Roman" w:cs="Times New Roman"/>
          <w:szCs w:val="20"/>
        </w:rPr>
        <w:t> </w:t>
      </w:r>
      <w:r w:rsidRPr="00120553">
        <w:rPr>
          <w:rFonts w:eastAsia="Times New Roman" w:cs="Times New Roman"/>
          <w:szCs w:val="20"/>
        </w:rPr>
        <w:t xml:space="preserve">resource </w:t>
      </w:r>
      <w:r w:rsidRPr="00120553">
        <w:rPr>
          <w:rFonts w:ascii="Cambria Math" w:eastAsia="Times New Roman" w:hAnsi="Cambria Math" w:cs="Cambria Math"/>
          <w:szCs w:val="20"/>
        </w:rPr>
        <w:t>∗</w:t>
      </w:r>
      <w:r w:rsidRPr="00120553">
        <w:rPr>
          <w:rFonts w:eastAsia="Times New Roman" w:cs="Times New Roman"/>
          <w:szCs w:val="20"/>
        </w:rPr>
        <w:t xml:space="preserve"> Although the application of AI for sustainability has been conceptualized as a strategic resource, we propose that firms seldom treat AI for sustainability as a strategic resource that facilitates the attainment of a sustained competitive advantage as there is a massive gap between a firm’s IT prowess and its intentions around AI to address ecological challenges </w:t>
      </w:r>
      <w:r w:rsidR="00790F02">
        <w:rPr>
          <w:rFonts w:eastAsia="Times New Roman" w:cs="Times New Roman"/>
          <w:szCs w:val="20"/>
        </w:rPr>
        <w:t>[50]</w:t>
      </w:r>
      <w:r w:rsidRPr="00120553">
        <w:rPr>
          <w:rFonts w:eastAsia="Times New Roman" w:cs="Times New Roman"/>
          <w:szCs w:val="20"/>
        </w:rPr>
        <w:t>.</w:t>
      </w:r>
    </w:p>
    <w:p w14:paraId="66B60CD5" w14:textId="77777777" w:rsidR="00424237" w:rsidRDefault="00424237" w:rsidP="00790F02">
      <w:pPr>
        <w:tabs>
          <w:tab w:val="num" w:pos="720"/>
        </w:tabs>
        <w:rPr>
          <w:rFonts w:eastAsia="Times New Roman" w:cs="Times New Roman"/>
          <w:szCs w:val="20"/>
        </w:rPr>
      </w:pPr>
    </w:p>
    <w:p w14:paraId="6C0553B1" w14:textId="14038946" w:rsidR="00790F02" w:rsidRDefault="00790B43" w:rsidP="00790F02">
      <w:pPr>
        <w:tabs>
          <w:tab w:val="num" w:pos="720"/>
        </w:tabs>
        <w:rPr>
          <w:rFonts w:eastAsia="Times New Roman" w:cs="Times New Roman"/>
          <w:szCs w:val="20"/>
        </w:rPr>
      </w:pPr>
      <w:r w:rsidRPr="00120553">
        <w:rPr>
          <w:rFonts w:eastAsia="Times New Roman" w:cs="Times New Roman"/>
          <w:szCs w:val="20"/>
        </w:rPr>
        <w:t xml:space="preserve"> This cross-domain perspective underscores the dual function of AI-SCI involved in Bangladesh’s RMG industry—both as a direct agent to avert ecological consternation and as an indirect means to engender resilience by embracing adaptive technological and operational </w:t>
      </w:r>
      <w:r w:rsidR="00B071D6" w:rsidRPr="00120553">
        <w:rPr>
          <w:rFonts w:eastAsia="Times New Roman" w:cs="Times New Roman"/>
          <w:szCs w:val="20"/>
        </w:rPr>
        <w:t>competencies</w:t>
      </w:r>
      <w:r w:rsidR="00B071D6">
        <w:rPr>
          <w:rFonts w:eastAsia="Times New Roman" w:cs="Times New Roman"/>
          <w:szCs w:val="20"/>
        </w:rPr>
        <w:t xml:space="preserve"> and</w:t>
      </w:r>
      <w:r w:rsidRPr="00120553">
        <w:rPr>
          <w:rFonts w:eastAsia="Times New Roman" w:cs="Times New Roman"/>
          <w:szCs w:val="20"/>
        </w:rPr>
        <w:t xml:space="preserve"> provides </w:t>
      </w:r>
      <w:r w:rsidR="007E4A99">
        <w:rPr>
          <w:rFonts w:eastAsia="Times New Roman" w:cs="Times New Roman"/>
          <w:szCs w:val="20"/>
        </w:rPr>
        <w:t>a templatic</w:t>
      </w:r>
      <w:r w:rsidRPr="00120553">
        <w:rPr>
          <w:rFonts w:eastAsia="Times New Roman" w:cs="Times New Roman"/>
          <w:szCs w:val="20"/>
        </w:rPr>
        <w:t xml:space="preserve"> approach to the real world of realizing industrial progression and eco-preservation in resource-scarce settings </w:t>
      </w:r>
      <w:r w:rsidR="00790F02">
        <w:rPr>
          <w:rFonts w:eastAsia="Times New Roman" w:cs="Times New Roman"/>
          <w:szCs w:val="20"/>
        </w:rPr>
        <w:t>[51]</w:t>
      </w:r>
      <w:r w:rsidRPr="00120553">
        <w:rPr>
          <w:rFonts w:eastAsia="Times New Roman" w:cs="Times New Roman"/>
          <w:szCs w:val="20"/>
        </w:rPr>
        <w:t>.</w:t>
      </w:r>
    </w:p>
    <w:p w14:paraId="4E7CF587" w14:textId="77777777" w:rsidR="00B071D6" w:rsidRPr="00790F02" w:rsidRDefault="00B071D6" w:rsidP="00790F02">
      <w:pPr>
        <w:tabs>
          <w:tab w:val="num" w:pos="720"/>
        </w:tabs>
        <w:rPr>
          <w:rFonts w:eastAsia="Times New Roman" w:cs="Times New Roman"/>
          <w:szCs w:val="20"/>
        </w:rPr>
      </w:pPr>
    </w:p>
    <w:p w14:paraId="51EB625B" w14:textId="1B7370DA" w:rsidR="00790B43" w:rsidRDefault="00790F02" w:rsidP="00790F02">
      <w:pPr>
        <w:jc w:val="center"/>
        <w:rPr>
          <w:rFonts w:eastAsia="Aptos" w:cs="Times New Roman"/>
          <w:b/>
          <w:bCs/>
          <w:color w:val="C45911" w:themeColor="accent2" w:themeShade="BF"/>
          <w:kern w:val="2"/>
          <w:szCs w:val="20"/>
          <w:lang w:val="en"/>
          <w14:ligatures w14:val="standardContextual"/>
        </w:rPr>
      </w:pPr>
      <w:r w:rsidRPr="00B81F2B">
        <w:rPr>
          <w:noProof/>
        </w:rPr>
        <w:drawing>
          <wp:inline distT="0" distB="0" distL="0" distR="0" wp14:anchorId="2F84AD98" wp14:editId="46519674">
            <wp:extent cx="4314613" cy="2248535"/>
            <wp:effectExtent l="0" t="0" r="0" b="0"/>
            <wp:docPr id="4614766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387" t="9923" r="7962"/>
                    <a:stretch>
                      <a:fillRect/>
                    </a:stretch>
                  </pic:blipFill>
                  <pic:spPr bwMode="auto">
                    <a:xfrm>
                      <a:off x="0" y="0"/>
                      <a:ext cx="4354369" cy="2269254"/>
                    </a:xfrm>
                    <a:prstGeom prst="rect">
                      <a:avLst/>
                    </a:prstGeom>
                    <a:noFill/>
                    <a:ln>
                      <a:noFill/>
                    </a:ln>
                    <a:extLst>
                      <a:ext uri="{53640926-AAD7-44D8-BBD7-CCE9431645EC}">
                        <a14:shadowObscured xmlns:a14="http://schemas.microsoft.com/office/drawing/2010/main"/>
                      </a:ext>
                    </a:extLst>
                  </pic:spPr>
                </pic:pic>
              </a:graphicData>
            </a:graphic>
          </wp:inline>
        </w:drawing>
      </w:r>
    </w:p>
    <w:p w14:paraId="4A21BEE9" w14:textId="77777777" w:rsidR="0090192B" w:rsidRPr="00790F02" w:rsidRDefault="0090192B" w:rsidP="0090192B">
      <w:pPr>
        <w:jc w:val="center"/>
        <w:rPr>
          <w:rFonts w:eastAsia="Times New Roman" w:cs="Times New Roman"/>
          <w:szCs w:val="20"/>
        </w:rPr>
      </w:pPr>
      <w:r w:rsidRPr="00790B43">
        <w:rPr>
          <w:rFonts w:cs="Times New Roman"/>
          <w:b/>
          <w:bCs/>
          <w:szCs w:val="20"/>
        </w:rPr>
        <w:t>Figure 1</w:t>
      </w:r>
      <w:r>
        <w:rPr>
          <w:rFonts w:cs="Times New Roman"/>
          <w:b/>
          <w:bCs/>
          <w:szCs w:val="20"/>
        </w:rPr>
        <w:t>:</w:t>
      </w:r>
      <w:r>
        <w:rPr>
          <w:rFonts w:cs="Times New Roman"/>
          <w:szCs w:val="20"/>
        </w:rPr>
        <w:t xml:space="preserve"> </w:t>
      </w:r>
      <w:r w:rsidRPr="00120553">
        <w:rPr>
          <w:rFonts w:eastAsia="Times New Roman" w:cs="Times New Roman"/>
          <w:szCs w:val="20"/>
        </w:rPr>
        <w:t>C</w:t>
      </w:r>
      <w:r>
        <w:rPr>
          <w:rFonts w:eastAsia="Times New Roman" w:cs="Times New Roman"/>
          <w:szCs w:val="20"/>
        </w:rPr>
        <w:t>onceptual Framework (Developed by Author)</w:t>
      </w:r>
    </w:p>
    <w:p w14:paraId="6F54B614" w14:textId="77777777" w:rsidR="0090192B" w:rsidRPr="0090192B" w:rsidRDefault="0090192B" w:rsidP="00790F02">
      <w:pPr>
        <w:jc w:val="center"/>
        <w:rPr>
          <w:rFonts w:eastAsia="Aptos" w:cs="Times New Roman"/>
          <w:b/>
          <w:bCs/>
          <w:color w:val="C45911" w:themeColor="accent2" w:themeShade="BF"/>
          <w:kern w:val="2"/>
          <w:szCs w:val="20"/>
          <w14:ligatures w14:val="standardContextual"/>
        </w:rPr>
      </w:pPr>
    </w:p>
    <w:p w14:paraId="5CB4B82D" w14:textId="36BD0CF3" w:rsidR="00790F02" w:rsidRPr="00AA520A" w:rsidRDefault="00790F02" w:rsidP="00790F02">
      <w:pPr>
        <w:jc w:val="left"/>
        <w:rPr>
          <w:rFonts w:eastAsia="Aptos" w:cs="Times New Roman"/>
          <w:b/>
          <w:bCs/>
          <w:color w:val="C45911" w:themeColor="accent2" w:themeShade="BF"/>
          <w:kern w:val="2"/>
          <w:szCs w:val="20"/>
          <w:lang w:val="en"/>
          <w14:ligatures w14:val="standardContextual"/>
        </w:rPr>
      </w:pPr>
      <w:r w:rsidRPr="00120553">
        <w:rPr>
          <w:rFonts w:eastAsia="Aptos" w:cs="Times New Roman"/>
          <w:b/>
          <w:bCs/>
          <w:color w:val="C45911" w:themeColor="accent2" w:themeShade="BF"/>
          <w:kern w:val="2"/>
          <w:szCs w:val="20"/>
          <w:lang w:val="en"/>
          <w14:ligatures w14:val="standardContextual"/>
        </w:rPr>
        <w:t>4</w:t>
      </w:r>
      <w:r w:rsidRPr="00AA520A">
        <w:rPr>
          <w:rFonts w:eastAsia="Aptos" w:cs="Times New Roman"/>
          <w:b/>
          <w:bCs/>
          <w:color w:val="C45911" w:themeColor="accent2" w:themeShade="BF"/>
          <w:kern w:val="2"/>
          <w:szCs w:val="20"/>
          <w:lang w:val="en"/>
          <w14:ligatures w14:val="standardContextual"/>
        </w:rPr>
        <w:t xml:space="preserve">. Methodology </w:t>
      </w:r>
    </w:p>
    <w:p w14:paraId="4E290B95" w14:textId="77777777" w:rsidR="00790B43" w:rsidRPr="00AA520A" w:rsidRDefault="00790B43" w:rsidP="00790B43">
      <w:pPr>
        <w:rPr>
          <w:rFonts w:eastAsia="Aptos" w:cs="Times New Roman"/>
          <w:b/>
          <w:bCs/>
          <w:color w:val="C45911" w:themeColor="accent2" w:themeShade="BF"/>
          <w:kern w:val="2"/>
          <w:szCs w:val="20"/>
          <w14:ligatures w14:val="standardContextual"/>
        </w:rPr>
      </w:pPr>
      <w:r w:rsidRPr="00AA520A">
        <w:rPr>
          <w:rFonts w:eastAsia="Aptos" w:cs="Times New Roman"/>
          <w:b/>
          <w:bCs/>
          <w:color w:val="C45911" w:themeColor="accent2" w:themeShade="BF"/>
          <w:kern w:val="2"/>
          <w:szCs w:val="20"/>
          <w14:ligatures w14:val="standardContextual"/>
        </w:rPr>
        <w:t>4.1. Research Design</w:t>
      </w:r>
    </w:p>
    <w:p w14:paraId="21817A93" w14:textId="77777777" w:rsidR="00424237" w:rsidRDefault="00790B43" w:rsidP="00790B43">
      <w:pPr>
        <w:rPr>
          <w:rFonts w:eastAsia="Times New Roman" w:cs="Times New Roman"/>
          <w:szCs w:val="20"/>
        </w:rPr>
      </w:pPr>
      <w:r w:rsidRPr="00120553">
        <w:rPr>
          <w:rFonts w:eastAsia="Times New Roman" w:cs="Times New Roman"/>
          <w:szCs w:val="20"/>
        </w:rPr>
        <w:t xml:space="preserve">The research is conducted based on </w:t>
      </w:r>
      <w:r w:rsidR="00790F02">
        <w:rPr>
          <w:rFonts w:eastAsia="Times New Roman" w:cs="Times New Roman"/>
          <w:szCs w:val="20"/>
        </w:rPr>
        <w:t xml:space="preserve">a </w:t>
      </w:r>
      <w:r w:rsidRPr="00120553">
        <w:rPr>
          <w:rFonts w:eastAsia="Times New Roman" w:cs="Times New Roman"/>
          <w:szCs w:val="20"/>
        </w:rPr>
        <w:t xml:space="preserve">quantitative research </w:t>
      </w:r>
      <w:r w:rsidR="00AA520A">
        <w:rPr>
          <w:rFonts w:eastAsia="Times New Roman" w:cs="Times New Roman"/>
          <w:szCs w:val="20"/>
        </w:rPr>
        <w:t>design to</w:t>
      </w:r>
      <w:r w:rsidRPr="00120553">
        <w:rPr>
          <w:rFonts w:eastAsia="Times New Roman" w:cs="Times New Roman"/>
          <w:szCs w:val="20"/>
        </w:rPr>
        <w:t xml:space="preserve"> examine the links among AI-powered supply chain integration (AI-SCI), technological readiness (TR), supply chain agility (SCA), and environmental sustainability (ES) in the Ready-Made Garment (RMG) sector of Bangladesh. </w:t>
      </w:r>
      <w:r w:rsidR="00790F02">
        <w:rPr>
          <w:rFonts w:eastAsia="Times New Roman" w:cs="Times New Roman"/>
          <w:szCs w:val="20"/>
        </w:rPr>
        <w:t>A cross-sectional</w:t>
      </w:r>
      <w:r w:rsidRPr="00120553">
        <w:rPr>
          <w:rFonts w:eastAsia="Times New Roman" w:cs="Times New Roman"/>
          <w:szCs w:val="20"/>
        </w:rPr>
        <w:t xml:space="preserve"> design is employed, which is suitable when collecting data at one point in time to study the inter-relationships of the constructs </w:t>
      </w:r>
      <w:r w:rsidR="00790F02">
        <w:rPr>
          <w:rFonts w:eastAsia="Times New Roman" w:cs="Times New Roman"/>
          <w:szCs w:val="20"/>
        </w:rPr>
        <w:t>[52]</w:t>
      </w:r>
      <w:r w:rsidRPr="00120553">
        <w:rPr>
          <w:rFonts w:eastAsia="Times New Roman" w:cs="Times New Roman"/>
          <w:szCs w:val="20"/>
        </w:rPr>
        <w:t xml:space="preserve">. </w:t>
      </w:r>
    </w:p>
    <w:p w14:paraId="0E16B7E4" w14:textId="77777777" w:rsidR="00424237" w:rsidRDefault="00424237" w:rsidP="00790B43">
      <w:pPr>
        <w:rPr>
          <w:rFonts w:eastAsia="Times New Roman" w:cs="Times New Roman"/>
          <w:szCs w:val="20"/>
        </w:rPr>
      </w:pPr>
    </w:p>
    <w:p w14:paraId="17AE3AC2" w14:textId="7F482740" w:rsidR="00790B43" w:rsidRPr="00790B43" w:rsidRDefault="00790B43" w:rsidP="00790B43">
      <w:pPr>
        <w:rPr>
          <w:rFonts w:eastAsia="Times New Roman" w:cs="Times New Roman"/>
          <w:szCs w:val="20"/>
        </w:rPr>
      </w:pPr>
      <w:r w:rsidRPr="00120553">
        <w:rPr>
          <w:rFonts w:eastAsia="Times New Roman" w:cs="Times New Roman"/>
          <w:szCs w:val="20"/>
        </w:rPr>
        <w:t xml:space="preserve">This model is especially useful in </w:t>
      </w:r>
      <w:r w:rsidR="00AA520A" w:rsidRPr="00120553">
        <w:rPr>
          <w:rFonts w:eastAsia="Times New Roman" w:cs="Times New Roman"/>
          <w:szCs w:val="20"/>
        </w:rPr>
        <w:t>exploration</w:t>
      </w:r>
      <w:r w:rsidRPr="00120553">
        <w:rPr>
          <w:rFonts w:eastAsia="Times New Roman" w:cs="Times New Roman"/>
          <w:szCs w:val="20"/>
        </w:rPr>
        <w:t xml:space="preserve"> investigations concerned with exploring possible mediating roles of TR and SCA in the association between AI-SCI and ES. The analysis is conducted using Partial Least Squares Structural Equation Modeling (PLS-SEM), an appropriate modeling technique for complex models with </w:t>
      </w:r>
      <w:r w:rsidRPr="00120553">
        <w:rPr>
          <w:rFonts w:eastAsia="Times New Roman" w:cs="Times New Roman"/>
          <w:szCs w:val="20"/>
        </w:rPr>
        <w:lastRenderedPageBreak/>
        <w:t xml:space="preserve">mediating effects and non-normal data distributions </w:t>
      </w:r>
      <w:r w:rsidR="00790F02">
        <w:rPr>
          <w:rFonts w:eastAsia="Times New Roman" w:cs="Times New Roman"/>
          <w:szCs w:val="20"/>
        </w:rPr>
        <w:t>[53]</w:t>
      </w:r>
      <w:r w:rsidRPr="00120553">
        <w:rPr>
          <w:rFonts w:eastAsia="Times New Roman" w:cs="Times New Roman"/>
          <w:szCs w:val="20"/>
        </w:rPr>
        <w:t xml:space="preserve">. PLS-SEM is also useful for studies of small-to-moderate sample sizes, which is the case for this research </w:t>
      </w:r>
      <w:r w:rsidR="00790F02">
        <w:rPr>
          <w:rFonts w:eastAsia="Times New Roman" w:cs="Times New Roman"/>
          <w:szCs w:val="20"/>
        </w:rPr>
        <w:t>[54]</w:t>
      </w:r>
      <w:r w:rsidRPr="00120553">
        <w:rPr>
          <w:rFonts w:eastAsia="Times New Roman" w:cs="Times New Roman"/>
          <w:szCs w:val="20"/>
        </w:rPr>
        <w:t>.</w:t>
      </w:r>
      <w:r w:rsidRPr="005D4E58">
        <w:t xml:space="preserve"> </w:t>
      </w:r>
      <w:r w:rsidRPr="00790B43">
        <w:rPr>
          <w:rFonts w:eastAsia="Times New Roman" w:cs="Times New Roman"/>
          <w:szCs w:val="20"/>
        </w:rPr>
        <w:t xml:space="preserve">However, the cross-sectional nature of this study limits our ability to infer causal relationships among the </w:t>
      </w:r>
      <w:r w:rsidR="00AA520A" w:rsidRPr="00790B43">
        <w:rPr>
          <w:rFonts w:eastAsia="Times New Roman" w:cs="Times New Roman"/>
          <w:szCs w:val="20"/>
        </w:rPr>
        <w:t>constructions</w:t>
      </w:r>
      <w:r w:rsidRPr="00790B43">
        <w:rPr>
          <w:rFonts w:eastAsia="Times New Roman" w:cs="Times New Roman"/>
          <w:szCs w:val="20"/>
        </w:rPr>
        <w:t>. Future longitudinal research is recommended to establish causality.</w:t>
      </w:r>
    </w:p>
    <w:p w14:paraId="1210DFF9" w14:textId="77777777" w:rsidR="00790B43" w:rsidRPr="00790B43" w:rsidRDefault="00790B43" w:rsidP="00790B43">
      <w:pPr>
        <w:rPr>
          <w:rFonts w:eastAsia="Times New Roman" w:cs="Times New Roman"/>
          <w:szCs w:val="20"/>
        </w:rPr>
      </w:pPr>
    </w:p>
    <w:p w14:paraId="2C6D0F7A" w14:textId="77777777" w:rsidR="00790B43" w:rsidRPr="00AA520A" w:rsidRDefault="00790B43" w:rsidP="00790B43">
      <w:pPr>
        <w:rPr>
          <w:rFonts w:eastAsia="Aptos" w:cs="Times New Roman"/>
          <w:b/>
          <w:bCs/>
          <w:iCs/>
          <w:kern w:val="2"/>
          <w:szCs w:val="20"/>
          <w14:ligatures w14:val="standardContextual"/>
        </w:rPr>
      </w:pPr>
      <w:r w:rsidRPr="00AA520A">
        <w:rPr>
          <w:rFonts w:eastAsia="Aptos" w:cs="Times New Roman"/>
          <w:b/>
          <w:bCs/>
          <w:iCs/>
          <w:color w:val="C45911" w:themeColor="accent2" w:themeShade="BF"/>
          <w:kern w:val="2"/>
          <w:szCs w:val="20"/>
          <w14:ligatures w14:val="standardContextual"/>
        </w:rPr>
        <w:t>4.2. Population and Sampling</w:t>
      </w:r>
    </w:p>
    <w:p w14:paraId="4F0C4B1C" w14:textId="77777777" w:rsidR="00424237" w:rsidRDefault="00790B43" w:rsidP="00790B43">
      <w:pPr>
        <w:rPr>
          <w:rFonts w:eastAsia="Times New Roman" w:cs="Times New Roman"/>
          <w:szCs w:val="20"/>
        </w:rPr>
      </w:pPr>
      <w:r w:rsidRPr="00790B43">
        <w:rPr>
          <w:rFonts w:eastAsia="Times New Roman" w:cs="Times New Roman"/>
          <w:szCs w:val="20"/>
        </w:rPr>
        <w:t>The study employed non-probability convenience sampling due to the practical challenges of accessing a large and randomized sample of managerial professionals in Bangladesh's RMG sector. Given the time constraints and the targeted nature of the respondents (e.g., supply chain managers, operations managers, and sustainability officers), convenience sampling allowed for efficient data collection from individuals directly involved in AI-driven supply chain integration and sustainability practices.</w:t>
      </w:r>
    </w:p>
    <w:p w14:paraId="11A7BCC8" w14:textId="77777777" w:rsidR="00424237" w:rsidRDefault="00424237" w:rsidP="00790B43">
      <w:pPr>
        <w:rPr>
          <w:rFonts w:eastAsia="Times New Roman" w:cs="Times New Roman"/>
          <w:szCs w:val="20"/>
        </w:rPr>
      </w:pPr>
    </w:p>
    <w:p w14:paraId="6EF781C0" w14:textId="25AA4F0F" w:rsidR="00790B43" w:rsidRPr="00790B43" w:rsidRDefault="00790B43" w:rsidP="00790B43">
      <w:pPr>
        <w:rPr>
          <w:rFonts w:eastAsia="Times New Roman" w:cs="Times New Roman"/>
          <w:szCs w:val="20"/>
        </w:rPr>
      </w:pPr>
      <w:r w:rsidRPr="00790B43">
        <w:rPr>
          <w:rFonts w:eastAsia="Times New Roman" w:cs="Times New Roman"/>
          <w:szCs w:val="20"/>
        </w:rPr>
        <w:t xml:space="preserve"> While this approach may introduce selection bias, the study mitigated this limitation by ensuring a sufficiently large sample size (n=389) and validating the representativeness of the sample through demographic analysis (see Table 1). The sample demographics align with the sector's profile, including mid-career professionals with relevant expertise, which supports the generalizability of findings within the RMG context. Future research could enhance robustness by employing stratified or random sampling techniques</w:t>
      </w:r>
      <w:r>
        <w:rPr>
          <w:rFonts w:eastAsia="Times New Roman" w:cs="Times New Roman"/>
          <w:szCs w:val="20"/>
        </w:rPr>
        <w:t>.</w:t>
      </w:r>
    </w:p>
    <w:p w14:paraId="28399910" w14:textId="77777777" w:rsidR="00790B43" w:rsidRPr="00790B43" w:rsidRDefault="00790B43" w:rsidP="00790B43">
      <w:pPr>
        <w:rPr>
          <w:rFonts w:eastAsia="Times New Roman" w:cs="Times New Roman"/>
          <w:szCs w:val="20"/>
        </w:rPr>
      </w:pPr>
    </w:p>
    <w:p w14:paraId="44B1CD75" w14:textId="77777777" w:rsidR="00790B43" w:rsidRPr="00AA520A" w:rsidRDefault="00790B43" w:rsidP="00790B43">
      <w:pPr>
        <w:rPr>
          <w:rFonts w:eastAsia="Times New Roman" w:cs="Times New Roman"/>
          <w:b/>
          <w:bCs/>
          <w:iCs/>
          <w:szCs w:val="20"/>
        </w:rPr>
      </w:pPr>
      <w:r w:rsidRPr="00AA520A">
        <w:rPr>
          <w:rFonts w:eastAsia="Times New Roman" w:cs="Times New Roman"/>
          <w:b/>
          <w:bCs/>
          <w:iCs/>
          <w:color w:val="C45911" w:themeColor="accent2" w:themeShade="BF"/>
          <w:szCs w:val="20"/>
        </w:rPr>
        <w:t>4.3. Data Collection Procedure</w:t>
      </w:r>
    </w:p>
    <w:p w14:paraId="4FBB7778" w14:textId="77777777" w:rsidR="00424237" w:rsidRDefault="00790F02" w:rsidP="00790B43">
      <w:pPr>
        <w:rPr>
          <w:rFonts w:eastAsia="Times New Roman" w:cs="Times New Roman"/>
          <w:bCs/>
          <w:szCs w:val="20"/>
        </w:rPr>
      </w:pPr>
      <w:r>
        <w:rPr>
          <w:rFonts w:eastAsia="Times New Roman" w:cs="Times New Roman"/>
          <w:bCs/>
          <w:szCs w:val="20"/>
        </w:rPr>
        <w:t>A structured</w:t>
      </w:r>
      <w:r w:rsidR="00790B43" w:rsidRPr="00120553">
        <w:rPr>
          <w:rFonts w:eastAsia="Times New Roman" w:cs="Times New Roman"/>
          <w:bCs/>
          <w:szCs w:val="20"/>
        </w:rPr>
        <w:t xml:space="preserve"> questionnaire was applied for data collection to measure the main constructs of the study: AI-SCI, TR, SCA</w:t>
      </w:r>
      <w:r>
        <w:rPr>
          <w:rFonts w:eastAsia="Times New Roman" w:cs="Times New Roman"/>
          <w:bCs/>
          <w:szCs w:val="20"/>
        </w:rPr>
        <w:t>,</w:t>
      </w:r>
      <w:r w:rsidR="00790B43" w:rsidRPr="00120553">
        <w:rPr>
          <w:rFonts w:eastAsia="Times New Roman" w:cs="Times New Roman"/>
          <w:bCs/>
          <w:szCs w:val="20"/>
        </w:rPr>
        <w:t xml:space="preserve"> and ES. The instrument employed a five-point </w:t>
      </w:r>
      <w:r>
        <w:rPr>
          <w:rFonts w:eastAsia="Times New Roman" w:cs="Times New Roman"/>
          <w:bCs/>
          <w:szCs w:val="20"/>
        </w:rPr>
        <w:t>Likert-type</w:t>
      </w:r>
      <w:r w:rsidR="00790B43" w:rsidRPr="00120553">
        <w:rPr>
          <w:rFonts w:eastAsia="Times New Roman" w:cs="Times New Roman"/>
          <w:bCs/>
          <w:szCs w:val="20"/>
        </w:rPr>
        <w:t xml:space="preserve"> scale (1=Strongly Disagree to 5=Strongly Agree) </w:t>
      </w:r>
      <w:r>
        <w:rPr>
          <w:rFonts w:eastAsia="Times New Roman" w:cs="Times New Roman"/>
          <w:bCs/>
          <w:szCs w:val="20"/>
        </w:rPr>
        <w:t>to measure</w:t>
      </w:r>
      <w:r w:rsidR="00790B43" w:rsidRPr="00120553">
        <w:rPr>
          <w:rFonts w:eastAsia="Times New Roman" w:cs="Times New Roman"/>
          <w:bCs/>
          <w:szCs w:val="20"/>
        </w:rPr>
        <w:t xml:space="preserve"> </w:t>
      </w:r>
      <w:r>
        <w:rPr>
          <w:rFonts w:eastAsia="Times New Roman" w:cs="Times New Roman"/>
          <w:bCs/>
          <w:szCs w:val="20"/>
        </w:rPr>
        <w:t>respondents'</w:t>
      </w:r>
      <w:r w:rsidR="00790B43" w:rsidRPr="00120553">
        <w:rPr>
          <w:rFonts w:eastAsia="Times New Roman" w:cs="Times New Roman"/>
          <w:bCs/>
          <w:szCs w:val="20"/>
        </w:rPr>
        <w:t xml:space="preserve"> attitudes and perceptions. The items for items for</w:t>
      </w:r>
      <w:r w:rsidR="00790B43" w:rsidRPr="00120553">
        <w:rPr>
          <w:rFonts w:eastAsia="Times New Roman" w:cs="Times New Roman"/>
          <w:bCs/>
          <w:szCs w:val="20"/>
        </w:rPr>
        <w:t> </w:t>
      </w:r>
      <w:r w:rsidR="00790B43" w:rsidRPr="00120553">
        <w:rPr>
          <w:rFonts w:eastAsia="Times New Roman" w:cs="Times New Roman"/>
          <w:bCs/>
          <w:szCs w:val="20"/>
        </w:rPr>
        <w:t xml:space="preserve">each construct were derived from validated scales in previous studies. </w:t>
      </w:r>
    </w:p>
    <w:p w14:paraId="567B1BA5" w14:textId="77777777" w:rsidR="00424237" w:rsidRDefault="00424237" w:rsidP="00790B43">
      <w:pPr>
        <w:rPr>
          <w:rFonts w:eastAsia="Times New Roman" w:cs="Times New Roman"/>
          <w:bCs/>
          <w:szCs w:val="20"/>
        </w:rPr>
      </w:pPr>
    </w:p>
    <w:p w14:paraId="7423E8C1" w14:textId="65E327CF" w:rsidR="00790B43" w:rsidRDefault="00790B43" w:rsidP="00790B43">
      <w:pPr>
        <w:rPr>
          <w:rFonts w:eastAsia="Times New Roman" w:cs="Times New Roman"/>
          <w:bCs/>
          <w:szCs w:val="20"/>
        </w:rPr>
      </w:pPr>
      <w:r w:rsidRPr="00120553">
        <w:rPr>
          <w:rFonts w:eastAsia="Times New Roman" w:cs="Times New Roman"/>
          <w:bCs/>
          <w:szCs w:val="20"/>
        </w:rPr>
        <w:t>It is used to evaluate neurological impairment and is widely applied to the measurement of neurological function in various diseases.</w:t>
      </w:r>
      <w:r w:rsidRPr="00120553">
        <w:rPr>
          <w:rFonts w:eastAsia="Times New Roman" w:cs="Times New Roman"/>
          <w:bCs/>
          <w:szCs w:val="20"/>
        </w:rPr>
        <w:t> </w:t>
      </w:r>
      <w:r w:rsidRPr="00120553">
        <w:rPr>
          <w:rFonts w:eastAsia="Times New Roman" w:cs="Times New Roman"/>
          <w:bCs/>
          <w:szCs w:val="20"/>
        </w:rPr>
        <w:t>2.2.2 AI-SCI It was modified from Wang et al. (2023)</w:t>
      </w:r>
      <w:r w:rsidRPr="00120553">
        <w:rPr>
          <w:rFonts w:eastAsia="Times New Roman" w:cs="Times New Roman"/>
          <w:bCs/>
          <w:szCs w:val="20"/>
        </w:rPr>
        <w:t> </w:t>
      </w:r>
      <w:r w:rsidRPr="00120553">
        <w:rPr>
          <w:rFonts w:eastAsia="Times New Roman" w:cs="Times New Roman"/>
          <w:bCs/>
          <w:szCs w:val="20"/>
        </w:rPr>
        <w:t>and Khan &amp; Islam (2023)</w:t>
      </w:r>
      <w:r w:rsidR="00790F02">
        <w:rPr>
          <w:rFonts w:eastAsia="Times New Roman" w:cs="Times New Roman"/>
          <w:bCs/>
          <w:szCs w:val="20"/>
        </w:rPr>
        <w:t>,</w:t>
      </w:r>
      <w:r w:rsidRPr="00120553">
        <w:rPr>
          <w:rFonts w:eastAsia="Times New Roman" w:cs="Times New Roman"/>
          <w:bCs/>
          <w:szCs w:val="20"/>
        </w:rPr>
        <w:t xml:space="preserve"> and a modified version of the ES scale from </w:t>
      </w:r>
      <w:r w:rsidR="00790F02">
        <w:rPr>
          <w:rFonts w:eastAsia="Times New Roman" w:cs="Times New Roman"/>
          <w:bCs/>
          <w:szCs w:val="20"/>
        </w:rPr>
        <w:t>[55]</w:t>
      </w:r>
      <w:r w:rsidRPr="00120553">
        <w:rPr>
          <w:rFonts w:eastAsia="Times New Roman" w:cs="Times New Roman"/>
          <w:bCs/>
          <w:szCs w:val="20"/>
        </w:rPr>
        <w:t xml:space="preserve">. The SCA </w:t>
      </w:r>
      <w:r w:rsidR="00790F02">
        <w:rPr>
          <w:rFonts w:eastAsia="Times New Roman" w:cs="Times New Roman"/>
          <w:bCs/>
          <w:szCs w:val="20"/>
        </w:rPr>
        <w:t>and TR</w:t>
      </w:r>
      <w:r w:rsidRPr="00120553">
        <w:rPr>
          <w:rFonts w:eastAsia="Times New Roman" w:cs="Times New Roman"/>
          <w:bCs/>
          <w:szCs w:val="20"/>
        </w:rPr>
        <w:t xml:space="preserve"> scales were based on Queiroz et al. (2021) and Singh &amp;</w:t>
      </w:r>
      <w:r w:rsidRPr="00120553">
        <w:rPr>
          <w:rFonts w:eastAsia="Times New Roman" w:cs="Times New Roman"/>
          <w:bCs/>
          <w:szCs w:val="20"/>
        </w:rPr>
        <w:t> </w:t>
      </w:r>
      <w:r w:rsidRPr="00120553">
        <w:rPr>
          <w:rFonts w:eastAsia="Times New Roman" w:cs="Times New Roman"/>
          <w:bCs/>
          <w:szCs w:val="20"/>
        </w:rPr>
        <w:t>Patel (2023)</w:t>
      </w:r>
      <w:r w:rsidR="00790F02">
        <w:rPr>
          <w:rFonts w:eastAsia="Times New Roman" w:cs="Times New Roman"/>
          <w:bCs/>
          <w:szCs w:val="20"/>
        </w:rPr>
        <w:t>,</w:t>
      </w:r>
      <w:r w:rsidRPr="00120553">
        <w:rPr>
          <w:rFonts w:eastAsia="Times New Roman" w:cs="Times New Roman"/>
          <w:bCs/>
          <w:szCs w:val="20"/>
        </w:rPr>
        <w:t xml:space="preserve"> on average.</w:t>
      </w:r>
    </w:p>
    <w:p w14:paraId="46ACF59C" w14:textId="77777777" w:rsidR="00424237" w:rsidRPr="00120553" w:rsidRDefault="00424237" w:rsidP="00790B43">
      <w:pPr>
        <w:rPr>
          <w:rFonts w:eastAsia="Times New Roman" w:cs="Times New Roman"/>
          <w:bCs/>
          <w:szCs w:val="20"/>
        </w:rPr>
      </w:pPr>
    </w:p>
    <w:p w14:paraId="7CF20507" w14:textId="77777777" w:rsidR="00424237" w:rsidRDefault="00790B43" w:rsidP="00790B43">
      <w:pPr>
        <w:rPr>
          <w:rFonts w:eastAsia="Times New Roman" w:cs="Times New Roman"/>
          <w:bCs/>
          <w:szCs w:val="20"/>
        </w:rPr>
      </w:pPr>
      <w:r w:rsidRPr="00120553">
        <w:rPr>
          <w:rFonts w:eastAsia="Times New Roman" w:cs="Times New Roman"/>
          <w:bCs/>
          <w:szCs w:val="20"/>
        </w:rPr>
        <w:t xml:space="preserve">Survey questionnaires were disseminated online (through Google Forms) and printed versions (hard copies distributed while visiting working places) among employees of 10 RMG companies in Dhaka, Bangladesh. </w:t>
      </w:r>
      <w:r w:rsidR="00790F02">
        <w:rPr>
          <w:rFonts w:eastAsia="Times New Roman" w:cs="Times New Roman"/>
          <w:bCs/>
          <w:szCs w:val="20"/>
        </w:rPr>
        <w:t>Both versions</w:t>
      </w:r>
      <w:r w:rsidRPr="00120553">
        <w:rPr>
          <w:rFonts w:eastAsia="Times New Roman" w:cs="Times New Roman"/>
          <w:bCs/>
          <w:szCs w:val="20"/>
        </w:rPr>
        <w:t xml:space="preserve"> of the questionnaires were conducted simultaneously in both printed and online formats. The use of the internet may have increased the reach and convenience of the </w:t>
      </w:r>
      <w:r w:rsidR="00790F02" w:rsidRPr="00120553">
        <w:rPr>
          <w:rFonts w:eastAsia="Times New Roman" w:cs="Times New Roman"/>
          <w:bCs/>
          <w:szCs w:val="20"/>
        </w:rPr>
        <w:t>survey;</w:t>
      </w:r>
      <w:r w:rsidRPr="00120553">
        <w:rPr>
          <w:rFonts w:eastAsia="Times New Roman" w:cs="Times New Roman"/>
          <w:bCs/>
          <w:szCs w:val="20"/>
        </w:rPr>
        <w:t xml:space="preserve"> however</w:t>
      </w:r>
      <w:r w:rsidR="00790F02">
        <w:rPr>
          <w:rFonts w:eastAsia="Times New Roman" w:cs="Times New Roman"/>
          <w:bCs/>
          <w:szCs w:val="20"/>
        </w:rPr>
        <w:t>,</w:t>
      </w:r>
      <w:r w:rsidRPr="00120553">
        <w:rPr>
          <w:rFonts w:eastAsia="Times New Roman" w:cs="Times New Roman"/>
          <w:bCs/>
          <w:szCs w:val="20"/>
        </w:rPr>
        <w:t xml:space="preserve"> face-to-face distribution of the surveys may have enabled the </w:t>
      </w:r>
      <w:r w:rsidR="00790F02">
        <w:rPr>
          <w:rFonts w:eastAsia="Times New Roman" w:cs="Times New Roman"/>
          <w:bCs/>
          <w:szCs w:val="20"/>
        </w:rPr>
        <w:t>clarification</w:t>
      </w:r>
      <w:r w:rsidRPr="00120553">
        <w:rPr>
          <w:rFonts w:eastAsia="Times New Roman" w:cs="Times New Roman"/>
          <w:bCs/>
          <w:szCs w:val="20"/>
        </w:rPr>
        <w:t xml:space="preserve"> of </w:t>
      </w:r>
      <w:r w:rsidR="00790F02">
        <w:rPr>
          <w:rFonts w:eastAsia="Times New Roman" w:cs="Times New Roman"/>
          <w:bCs/>
          <w:szCs w:val="20"/>
        </w:rPr>
        <w:t>doubts about</w:t>
      </w:r>
      <w:r w:rsidRPr="00120553">
        <w:rPr>
          <w:rFonts w:eastAsia="Times New Roman" w:cs="Times New Roman"/>
          <w:bCs/>
          <w:szCs w:val="20"/>
        </w:rPr>
        <w:t xml:space="preserve"> the survey.</w:t>
      </w:r>
    </w:p>
    <w:p w14:paraId="07B73AA8" w14:textId="77777777" w:rsidR="00424237" w:rsidRDefault="00424237" w:rsidP="00790B43">
      <w:pPr>
        <w:rPr>
          <w:rFonts w:eastAsia="Times New Roman" w:cs="Times New Roman"/>
          <w:bCs/>
          <w:szCs w:val="20"/>
        </w:rPr>
      </w:pPr>
    </w:p>
    <w:p w14:paraId="20A5197E" w14:textId="6BB7DD71" w:rsidR="00790B43" w:rsidRDefault="00790B43" w:rsidP="00790B43">
      <w:pPr>
        <w:rPr>
          <w:rFonts w:eastAsia="Times New Roman" w:cs="Times New Roman"/>
          <w:bCs/>
          <w:szCs w:val="20"/>
        </w:rPr>
      </w:pPr>
      <w:r w:rsidRPr="00120553">
        <w:rPr>
          <w:rFonts w:eastAsia="Times New Roman" w:cs="Times New Roman"/>
          <w:bCs/>
          <w:szCs w:val="20"/>
        </w:rPr>
        <w:t xml:space="preserve"> In this study, participation in the survey was voluntary and the respondents were informed that they should take the survey </w:t>
      </w:r>
      <w:r w:rsidR="00FC509E" w:rsidRPr="00120553">
        <w:rPr>
          <w:rFonts w:eastAsia="Times New Roman" w:cs="Times New Roman"/>
          <w:bCs/>
          <w:szCs w:val="20"/>
        </w:rPr>
        <w:t>based on</w:t>
      </w:r>
      <w:r w:rsidRPr="00120553">
        <w:rPr>
          <w:rFonts w:eastAsia="Times New Roman" w:cs="Times New Roman"/>
          <w:bCs/>
          <w:szCs w:val="20"/>
        </w:rPr>
        <w:t xml:space="preserve"> anonymity and confidentiality of their responses to control social desirability bias </w:t>
      </w:r>
      <w:r w:rsidR="00790F02">
        <w:rPr>
          <w:rFonts w:eastAsia="Times New Roman" w:cs="Times New Roman"/>
          <w:bCs/>
          <w:szCs w:val="20"/>
        </w:rPr>
        <w:t>[56]</w:t>
      </w:r>
      <w:r w:rsidRPr="00120553">
        <w:rPr>
          <w:rFonts w:eastAsia="Times New Roman" w:cs="Times New Roman"/>
          <w:bCs/>
          <w:szCs w:val="20"/>
        </w:rPr>
        <w:t>.</w:t>
      </w:r>
    </w:p>
    <w:p w14:paraId="7229923C" w14:textId="77777777" w:rsidR="00427848" w:rsidRDefault="00427848" w:rsidP="00790B43">
      <w:pPr>
        <w:rPr>
          <w:rFonts w:eastAsia="Times New Roman" w:cs="Times New Roman"/>
          <w:bCs/>
          <w:szCs w:val="20"/>
        </w:rPr>
      </w:pPr>
    </w:p>
    <w:p w14:paraId="73C7A0CD" w14:textId="30DE627D" w:rsidR="00427848" w:rsidRPr="00A054E9" w:rsidRDefault="00427848" w:rsidP="00A054E9">
      <w:pPr>
        <w:rPr>
          <w:rFonts w:eastAsia="Aptos" w:cs="Times New Roman"/>
          <w:b/>
          <w:bCs/>
          <w:kern w:val="2"/>
          <w:szCs w:val="20"/>
          <w14:ligatures w14:val="standardContextual"/>
        </w:rPr>
      </w:pPr>
      <w:r w:rsidRPr="00120553">
        <w:rPr>
          <w:szCs w:val="20"/>
        </w:rPr>
        <w:t xml:space="preserve">The research followed ethical guidelines in the gathering </w:t>
      </w:r>
      <w:r>
        <w:rPr>
          <w:szCs w:val="20"/>
        </w:rPr>
        <w:t>and interpretation</w:t>
      </w:r>
      <w:r w:rsidRPr="00120553">
        <w:rPr>
          <w:szCs w:val="20"/>
        </w:rPr>
        <w:t xml:space="preserve"> of the data. Informed consent forms including </w:t>
      </w:r>
      <w:r>
        <w:rPr>
          <w:szCs w:val="20"/>
        </w:rPr>
        <w:t>the purpose of</w:t>
      </w:r>
      <w:r w:rsidRPr="00120553">
        <w:rPr>
          <w:szCs w:val="20"/>
        </w:rPr>
        <w:t xml:space="preserve"> the study, voluntariness of participation</w:t>
      </w:r>
      <w:r>
        <w:rPr>
          <w:szCs w:val="20"/>
        </w:rPr>
        <w:t>,</w:t>
      </w:r>
      <w:r w:rsidRPr="00120553">
        <w:rPr>
          <w:szCs w:val="20"/>
        </w:rPr>
        <w:t xml:space="preserve"> and confidentiality of the responses</w:t>
      </w:r>
      <w:r>
        <w:rPr>
          <w:szCs w:val="20"/>
        </w:rPr>
        <w:t>,</w:t>
      </w:r>
      <w:r w:rsidRPr="00120553">
        <w:rPr>
          <w:szCs w:val="20"/>
        </w:rPr>
        <w:t xml:space="preserve"> were given to the participants. No personal data </w:t>
      </w:r>
      <w:r>
        <w:rPr>
          <w:szCs w:val="20"/>
        </w:rPr>
        <w:t>was obtained</w:t>
      </w:r>
      <w:r w:rsidRPr="00120553">
        <w:rPr>
          <w:szCs w:val="20"/>
        </w:rPr>
        <w:t xml:space="preserve">, thus guaranteeing the anonymity of the participants. Confidentiality of respondents was preserved with the storage of responses </w:t>
      </w:r>
      <w:r>
        <w:rPr>
          <w:szCs w:val="20"/>
        </w:rPr>
        <w:t>on encrypted</w:t>
      </w:r>
      <w:r w:rsidRPr="00120553">
        <w:rPr>
          <w:szCs w:val="20"/>
        </w:rPr>
        <w:t xml:space="preserve"> servers, and only accessible to the research team. These </w:t>
      </w:r>
      <w:r>
        <w:rPr>
          <w:szCs w:val="20"/>
        </w:rPr>
        <w:t>actions were</w:t>
      </w:r>
      <w:r w:rsidRPr="00120553">
        <w:rPr>
          <w:szCs w:val="20"/>
        </w:rPr>
        <w:t xml:space="preserve"> carried out to guarantee the anonymity and confidentiality of the participants and to safeguard the ethicality of the study.</w:t>
      </w:r>
    </w:p>
    <w:p w14:paraId="78CFC778" w14:textId="77777777" w:rsidR="00790B43" w:rsidRDefault="00790B43" w:rsidP="00790B43">
      <w:pPr>
        <w:rPr>
          <w:rFonts w:eastAsia="Times New Roman" w:cs="Times New Roman"/>
          <w:b/>
          <w:bCs/>
          <w:szCs w:val="20"/>
        </w:rPr>
      </w:pPr>
    </w:p>
    <w:p w14:paraId="5624387C" w14:textId="5931596E" w:rsidR="00790B43" w:rsidRPr="00AA520A" w:rsidRDefault="00790B43" w:rsidP="00790B43">
      <w:pPr>
        <w:rPr>
          <w:rFonts w:eastAsia="Times New Roman" w:cs="Times New Roman"/>
          <w:b/>
          <w:bCs/>
          <w:iCs/>
          <w:color w:val="C45911" w:themeColor="accent2" w:themeShade="BF"/>
          <w:szCs w:val="20"/>
        </w:rPr>
      </w:pPr>
      <w:r w:rsidRPr="00AA520A">
        <w:rPr>
          <w:rFonts w:eastAsia="Times New Roman" w:cs="Times New Roman"/>
          <w:b/>
          <w:bCs/>
          <w:iCs/>
          <w:color w:val="C45911" w:themeColor="accent2" w:themeShade="BF"/>
          <w:szCs w:val="20"/>
        </w:rPr>
        <w:t xml:space="preserve">4.4. </w:t>
      </w:r>
      <w:r w:rsidR="00790F02">
        <w:rPr>
          <w:rFonts w:eastAsia="Times New Roman" w:cs="Times New Roman"/>
          <w:b/>
          <w:bCs/>
          <w:iCs/>
          <w:color w:val="C45911" w:themeColor="accent2" w:themeShade="BF"/>
          <w:szCs w:val="20"/>
        </w:rPr>
        <w:t>Measures and</w:t>
      </w:r>
      <w:r w:rsidRPr="00AA520A">
        <w:rPr>
          <w:rFonts w:eastAsia="Times New Roman" w:cs="Times New Roman"/>
          <w:b/>
          <w:bCs/>
          <w:iCs/>
          <w:color w:val="C45911" w:themeColor="accent2" w:themeShade="BF"/>
          <w:szCs w:val="20"/>
        </w:rPr>
        <w:t xml:space="preserve"> Validation of Instrument</w:t>
      </w:r>
    </w:p>
    <w:p w14:paraId="2F86D148" w14:textId="77777777" w:rsidR="00424237" w:rsidRDefault="00790B43" w:rsidP="00427848">
      <w:pPr>
        <w:rPr>
          <w:rFonts w:eastAsia="Times New Roman" w:cs="Times New Roman"/>
          <w:bCs/>
          <w:szCs w:val="20"/>
        </w:rPr>
      </w:pPr>
      <w:r w:rsidRPr="00120553">
        <w:rPr>
          <w:rFonts w:eastAsia="Times New Roman" w:cs="Times New Roman"/>
          <w:bCs/>
          <w:szCs w:val="20"/>
        </w:rPr>
        <w:t xml:space="preserve">The validity and reliability of the measurement tools </w:t>
      </w:r>
      <w:r w:rsidR="00790F02">
        <w:rPr>
          <w:rFonts w:eastAsia="Times New Roman" w:cs="Times New Roman"/>
          <w:bCs/>
          <w:szCs w:val="20"/>
        </w:rPr>
        <w:t>were</w:t>
      </w:r>
      <w:r w:rsidRPr="00120553">
        <w:rPr>
          <w:rFonts w:eastAsia="Times New Roman" w:cs="Times New Roman"/>
          <w:bCs/>
          <w:szCs w:val="20"/>
        </w:rPr>
        <w:t xml:space="preserve"> checked </w:t>
      </w:r>
      <w:r w:rsidR="00790F02">
        <w:rPr>
          <w:rFonts w:eastAsia="Times New Roman" w:cs="Times New Roman"/>
          <w:bCs/>
          <w:szCs w:val="20"/>
        </w:rPr>
        <w:t>meticulously</w:t>
      </w:r>
      <w:r w:rsidRPr="00120553">
        <w:rPr>
          <w:rFonts w:eastAsia="Times New Roman" w:cs="Times New Roman"/>
          <w:bCs/>
          <w:szCs w:val="20"/>
        </w:rPr>
        <w:t xml:space="preserve"> in </w:t>
      </w:r>
      <w:r w:rsidR="00790F02">
        <w:rPr>
          <w:rFonts w:eastAsia="Times New Roman" w:cs="Times New Roman"/>
          <w:bCs/>
          <w:szCs w:val="20"/>
        </w:rPr>
        <w:t>this study</w:t>
      </w:r>
      <w:r w:rsidRPr="00120553">
        <w:rPr>
          <w:rFonts w:eastAsia="Times New Roman" w:cs="Times New Roman"/>
          <w:bCs/>
          <w:szCs w:val="20"/>
        </w:rPr>
        <w:t xml:space="preserve">. A pilot study with 30 subjects was performed to test </w:t>
      </w:r>
      <w:r w:rsidR="00790F02">
        <w:rPr>
          <w:rFonts w:eastAsia="Times New Roman" w:cs="Times New Roman"/>
          <w:bCs/>
          <w:szCs w:val="20"/>
        </w:rPr>
        <w:t>the clarity</w:t>
      </w:r>
      <w:r w:rsidRPr="00120553">
        <w:rPr>
          <w:rFonts w:eastAsia="Times New Roman" w:cs="Times New Roman"/>
          <w:bCs/>
          <w:szCs w:val="20"/>
        </w:rPr>
        <w:t xml:space="preserve"> and the reliability of the questionnaire. Results of the pilot test</w:t>
      </w:r>
      <w:r w:rsidR="00790F02">
        <w:rPr>
          <w:rFonts w:eastAsia="Times New Roman" w:cs="Times New Roman"/>
          <w:bCs/>
          <w:szCs w:val="20"/>
        </w:rPr>
        <w:t>.</w:t>
      </w:r>
      <w:r w:rsidRPr="00120553">
        <w:rPr>
          <w:rFonts w:eastAsia="Times New Roman" w:cs="Times New Roman"/>
          <w:bCs/>
          <w:szCs w:val="20"/>
        </w:rPr>
        <w:t xml:space="preserve"> All constructs had Cronbach’s alphas </w:t>
      </w:r>
      <w:r w:rsidR="007E4A99">
        <w:rPr>
          <w:rFonts w:eastAsia="Times New Roman" w:cs="Times New Roman"/>
          <w:bCs/>
          <w:szCs w:val="20"/>
        </w:rPr>
        <w:t xml:space="preserve">of </w:t>
      </w:r>
      <w:r w:rsidRPr="00120553">
        <w:rPr>
          <w:rFonts w:eastAsia="Times New Roman" w:cs="Times New Roman"/>
          <w:bCs/>
          <w:szCs w:val="20"/>
        </w:rPr>
        <w:t xml:space="preserve">more than 0.70, confirming </w:t>
      </w:r>
      <w:r w:rsidR="00FC509E">
        <w:rPr>
          <w:rFonts w:eastAsia="Times New Roman" w:cs="Times New Roman"/>
          <w:bCs/>
          <w:szCs w:val="20"/>
        </w:rPr>
        <w:t>the constructs’</w:t>
      </w:r>
      <w:r w:rsidRPr="00120553">
        <w:rPr>
          <w:rFonts w:eastAsia="Times New Roman" w:cs="Times New Roman"/>
          <w:bCs/>
          <w:szCs w:val="20"/>
        </w:rPr>
        <w:t xml:space="preserve"> internal consistency </w:t>
      </w:r>
      <w:r w:rsidR="00790F02">
        <w:rPr>
          <w:rFonts w:eastAsia="Times New Roman" w:cs="Times New Roman"/>
          <w:bCs/>
          <w:szCs w:val="20"/>
        </w:rPr>
        <w:t>[57]</w:t>
      </w:r>
      <w:r w:rsidRPr="00120553">
        <w:rPr>
          <w:rFonts w:eastAsia="Times New Roman" w:cs="Times New Roman"/>
          <w:bCs/>
          <w:szCs w:val="20"/>
        </w:rPr>
        <w:t>.</w:t>
      </w:r>
      <w:r w:rsidR="00427848">
        <w:rPr>
          <w:rFonts w:eastAsia="Times New Roman" w:cs="Times New Roman"/>
          <w:bCs/>
          <w:szCs w:val="20"/>
        </w:rPr>
        <w:t xml:space="preserve"> </w:t>
      </w:r>
    </w:p>
    <w:p w14:paraId="3C929EC6" w14:textId="77777777" w:rsidR="00424237" w:rsidRDefault="00424237" w:rsidP="00427848">
      <w:pPr>
        <w:rPr>
          <w:rFonts w:eastAsia="Times New Roman" w:cs="Times New Roman"/>
          <w:bCs/>
          <w:szCs w:val="20"/>
        </w:rPr>
      </w:pPr>
    </w:p>
    <w:p w14:paraId="7B2F9E70" w14:textId="77777777" w:rsidR="00424237" w:rsidRDefault="00790B43" w:rsidP="00427848">
      <w:pPr>
        <w:rPr>
          <w:rFonts w:eastAsia="Times New Roman" w:cs="Times New Roman"/>
          <w:bCs/>
          <w:szCs w:val="20"/>
        </w:rPr>
      </w:pPr>
      <w:r w:rsidRPr="00120553">
        <w:rPr>
          <w:rFonts w:eastAsia="Times New Roman" w:cs="Times New Roman"/>
          <w:bCs/>
          <w:szCs w:val="20"/>
        </w:rPr>
        <w:t xml:space="preserve">Second, common method variance (CMV) was controlled </w:t>
      </w:r>
      <w:r w:rsidR="00FC509E">
        <w:rPr>
          <w:rFonts w:eastAsia="Times New Roman" w:cs="Times New Roman"/>
          <w:bCs/>
          <w:szCs w:val="20"/>
        </w:rPr>
        <w:t>for with</w:t>
      </w:r>
      <w:r w:rsidRPr="00120553">
        <w:rPr>
          <w:rFonts w:eastAsia="Times New Roman" w:cs="Times New Roman"/>
          <w:bCs/>
          <w:szCs w:val="20"/>
        </w:rPr>
        <w:t xml:space="preserve"> Harman’s single-factor analysis. The results of the test showed that one factor </w:t>
      </w:r>
      <w:r w:rsidR="00790F02">
        <w:rPr>
          <w:rFonts w:eastAsia="Times New Roman" w:cs="Times New Roman"/>
          <w:bCs/>
          <w:szCs w:val="20"/>
        </w:rPr>
        <w:t>accounted for 35.6% of</w:t>
      </w:r>
      <w:r w:rsidRPr="00120553">
        <w:rPr>
          <w:rFonts w:eastAsia="Times New Roman" w:cs="Times New Roman"/>
          <w:bCs/>
          <w:szCs w:val="20"/>
        </w:rPr>
        <w:t xml:space="preserve"> the variance, </w:t>
      </w:r>
      <w:r w:rsidR="00FC509E">
        <w:rPr>
          <w:rFonts w:eastAsia="Times New Roman" w:cs="Times New Roman"/>
          <w:bCs/>
          <w:szCs w:val="20"/>
        </w:rPr>
        <w:t>which</w:t>
      </w:r>
      <w:r w:rsidRPr="00120553">
        <w:rPr>
          <w:rFonts w:eastAsia="Times New Roman" w:cs="Times New Roman"/>
          <w:bCs/>
          <w:szCs w:val="20"/>
        </w:rPr>
        <w:t xml:space="preserve"> was less than 50%,</w:t>
      </w:r>
      <w:r w:rsidR="00FC509E">
        <w:rPr>
          <w:rFonts w:eastAsia="Times New Roman" w:cs="Times New Roman"/>
          <w:bCs/>
          <w:szCs w:val="20"/>
        </w:rPr>
        <w:t xml:space="preserve"> suggesting</w:t>
      </w:r>
      <w:r w:rsidRPr="00120553">
        <w:rPr>
          <w:rFonts w:eastAsia="Times New Roman" w:cs="Times New Roman"/>
          <w:bCs/>
          <w:szCs w:val="20"/>
        </w:rPr>
        <w:t xml:space="preserve"> that CMB wasn’t a serious problem </w:t>
      </w:r>
      <w:r w:rsidR="00790F02">
        <w:rPr>
          <w:rFonts w:eastAsia="Times New Roman" w:cs="Times New Roman"/>
          <w:bCs/>
          <w:szCs w:val="20"/>
        </w:rPr>
        <w:t>[58]</w:t>
      </w:r>
      <w:r w:rsidRPr="00120553">
        <w:rPr>
          <w:rFonts w:eastAsia="Times New Roman" w:cs="Times New Roman"/>
          <w:bCs/>
          <w:szCs w:val="20"/>
        </w:rPr>
        <w:t>.</w:t>
      </w:r>
      <w:r w:rsidR="007E4A99">
        <w:rPr>
          <w:rFonts w:eastAsia="Times New Roman" w:cs="Times New Roman"/>
          <w:bCs/>
          <w:szCs w:val="20"/>
        </w:rPr>
        <w:t xml:space="preserve"> </w:t>
      </w:r>
      <w:r w:rsidRPr="00120553">
        <w:rPr>
          <w:rFonts w:eastAsia="Times New Roman" w:cs="Times New Roman"/>
          <w:bCs/>
          <w:szCs w:val="20"/>
        </w:rPr>
        <w:t xml:space="preserve">The convergent </w:t>
      </w:r>
      <w:r w:rsidR="00790F02">
        <w:rPr>
          <w:rFonts w:eastAsia="Times New Roman" w:cs="Times New Roman"/>
          <w:bCs/>
          <w:szCs w:val="20"/>
        </w:rPr>
        <w:t>validity was</w:t>
      </w:r>
      <w:r w:rsidRPr="00120553">
        <w:rPr>
          <w:rFonts w:eastAsia="Times New Roman" w:cs="Times New Roman"/>
          <w:bCs/>
          <w:szCs w:val="20"/>
        </w:rPr>
        <w:t xml:space="preserve"> indicated by AVE, and it is more than 0.50 for all constructs </w:t>
      </w:r>
      <w:r w:rsidR="00790F02">
        <w:rPr>
          <w:rFonts w:eastAsia="Times New Roman" w:cs="Times New Roman"/>
          <w:bCs/>
          <w:szCs w:val="20"/>
        </w:rPr>
        <w:t>[59]</w:t>
      </w:r>
      <w:r w:rsidR="00FC509E">
        <w:rPr>
          <w:rFonts w:eastAsia="Times New Roman" w:cs="Times New Roman"/>
          <w:bCs/>
          <w:szCs w:val="20"/>
        </w:rPr>
        <w:t>,</w:t>
      </w:r>
      <w:r w:rsidR="001C6B02">
        <w:rPr>
          <w:rFonts w:eastAsia="Times New Roman" w:cs="Times New Roman"/>
          <w:bCs/>
          <w:szCs w:val="20"/>
        </w:rPr>
        <w:t xml:space="preserve"> </w:t>
      </w:r>
      <w:r w:rsidRPr="00120553">
        <w:rPr>
          <w:rFonts w:eastAsia="Times New Roman" w:cs="Times New Roman"/>
          <w:bCs/>
          <w:szCs w:val="20"/>
        </w:rPr>
        <w:t xml:space="preserve">which means that the items measured the given constructs well. Relevant theory was </w:t>
      </w:r>
      <w:r w:rsidRPr="00120553">
        <w:rPr>
          <w:rFonts w:eastAsia="Times New Roman" w:cs="Times New Roman"/>
          <w:bCs/>
          <w:szCs w:val="20"/>
        </w:rPr>
        <w:lastRenderedPageBreak/>
        <w:t>additionally referenced through discriminant validity</w:t>
      </w:r>
      <w:r w:rsidR="00FC509E">
        <w:rPr>
          <w:rFonts w:eastAsia="Times New Roman" w:cs="Times New Roman"/>
          <w:bCs/>
          <w:szCs w:val="20"/>
        </w:rPr>
        <w:t>,</w:t>
      </w:r>
      <w:r w:rsidRPr="00120553">
        <w:rPr>
          <w:rFonts w:eastAsia="Times New Roman" w:cs="Times New Roman"/>
          <w:bCs/>
          <w:szCs w:val="20"/>
        </w:rPr>
        <w:t xml:space="preserve"> and it was found through the </w:t>
      </w:r>
      <w:proofErr w:type="spellStart"/>
      <w:r w:rsidRPr="00120553">
        <w:rPr>
          <w:rFonts w:eastAsia="Times New Roman" w:cs="Times New Roman"/>
          <w:bCs/>
          <w:szCs w:val="20"/>
        </w:rPr>
        <w:t>Heterotrait-Monotrait</w:t>
      </w:r>
      <w:proofErr w:type="spellEnd"/>
      <w:r w:rsidRPr="00120553">
        <w:rPr>
          <w:rFonts w:eastAsia="Times New Roman" w:cs="Times New Roman"/>
          <w:bCs/>
          <w:szCs w:val="20"/>
        </w:rPr>
        <w:t xml:space="preserve"> (HTMT) ratio that no construct was above the recommended cutoff of 0.85, meaning the constructs were different from one another </w:t>
      </w:r>
      <w:r w:rsidR="00790F02">
        <w:rPr>
          <w:rFonts w:eastAsia="Times New Roman" w:cs="Times New Roman"/>
          <w:bCs/>
          <w:szCs w:val="20"/>
        </w:rPr>
        <w:t>[60]</w:t>
      </w:r>
      <w:r w:rsidRPr="00120553">
        <w:rPr>
          <w:rFonts w:eastAsia="Times New Roman" w:cs="Times New Roman"/>
          <w:bCs/>
          <w:szCs w:val="20"/>
        </w:rPr>
        <w:t>.</w:t>
      </w:r>
      <w:r w:rsidR="00427848">
        <w:rPr>
          <w:rFonts w:eastAsia="Times New Roman" w:cs="Times New Roman"/>
          <w:bCs/>
          <w:szCs w:val="20"/>
        </w:rPr>
        <w:t xml:space="preserve"> </w:t>
      </w:r>
    </w:p>
    <w:p w14:paraId="240163D5" w14:textId="77777777" w:rsidR="00424237" w:rsidRDefault="00424237" w:rsidP="00427848">
      <w:pPr>
        <w:rPr>
          <w:rFonts w:eastAsia="Times New Roman" w:cs="Times New Roman"/>
          <w:bCs/>
          <w:szCs w:val="20"/>
        </w:rPr>
      </w:pPr>
    </w:p>
    <w:p w14:paraId="79ED7FC3" w14:textId="6CDE376E" w:rsidR="00790B43" w:rsidRPr="00790B43" w:rsidRDefault="00790B43" w:rsidP="00427848">
      <w:pPr>
        <w:rPr>
          <w:rFonts w:eastAsia="Times New Roman" w:cs="Times New Roman"/>
          <w:bCs/>
          <w:szCs w:val="20"/>
        </w:rPr>
      </w:pPr>
      <w:r w:rsidRPr="00790B43">
        <w:rPr>
          <w:rFonts w:eastAsia="Times New Roman" w:cs="Times New Roman"/>
          <w:bCs/>
          <w:szCs w:val="20"/>
        </w:rPr>
        <w:t xml:space="preserve">Although the outer loadings of </w:t>
      </w:r>
      <w:r w:rsidR="00FC509E">
        <w:rPr>
          <w:rFonts w:eastAsia="Times New Roman" w:cs="Times New Roman"/>
          <w:bCs/>
          <w:szCs w:val="20"/>
        </w:rPr>
        <w:t>object</w:t>
      </w:r>
      <w:r w:rsidRPr="00790B43">
        <w:rPr>
          <w:rFonts w:eastAsia="Times New Roman" w:cs="Times New Roman"/>
          <w:bCs/>
          <w:szCs w:val="20"/>
        </w:rPr>
        <w:t xml:space="preserve"> productions such </w:t>
      </w:r>
      <w:r w:rsidR="00FC509E">
        <w:rPr>
          <w:rFonts w:eastAsia="Times New Roman" w:cs="Times New Roman"/>
          <w:bCs/>
          <w:szCs w:val="20"/>
        </w:rPr>
        <w:t xml:space="preserve">as </w:t>
      </w:r>
      <w:r w:rsidRPr="00790B43">
        <w:rPr>
          <w:rFonts w:eastAsia="Times New Roman" w:cs="Times New Roman"/>
          <w:bCs/>
          <w:szCs w:val="20"/>
        </w:rPr>
        <w:t xml:space="preserve">AI-SCI_5 (0.558) and ES_3 (0.537) were below the threshold of 0.70, they were kept ensuring </w:t>
      </w:r>
      <w:r w:rsidR="00FC509E" w:rsidRPr="00790B43">
        <w:rPr>
          <w:rFonts w:eastAsia="Times New Roman" w:cs="Times New Roman"/>
          <w:bCs/>
          <w:szCs w:val="20"/>
        </w:rPr>
        <w:t>adequate</w:t>
      </w:r>
      <w:r w:rsidRPr="00790B43">
        <w:rPr>
          <w:rFonts w:eastAsia="Times New Roman" w:cs="Times New Roman"/>
          <w:bCs/>
          <w:szCs w:val="20"/>
        </w:rPr>
        <w:t xml:space="preserve"> coverage of their </w:t>
      </w:r>
      <w:r w:rsidR="00FC509E" w:rsidRPr="00790B43">
        <w:rPr>
          <w:rFonts w:eastAsia="Times New Roman" w:cs="Times New Roman"/>
          <w:bCs/>
          <w:szCs w:val="20"/>
        </w:rPr>
        <w:t>construction</w:t>
      </w:r>
      <w:r w:rsidRPr="00790B43">
        <w:rPr>
          <w:rFonts w:eastAsia="Times New Roman" w:cs="Times New Roman"/>
          <w:bCs/>
          <w:szCs w:val="20"/>
        </w:rPr>
        <w:t xml:space="preserve">. These items were considered theoretically important, and their removal did not substantially enhance model fit. However, the composite reliability and AVE of these constructions were still </w:t>
      </w:r>
      <w:r w:rsidR="00FC509E">
        <w:rPr>
          <w:rFonts w:eastAsia="Times New Roman" w:cs="Times New Roman"/>
          <w:bCs/>
          <w:szCs w:val="20"/>
        </w:rPr>
        <w:t xml:space="preserve">above </w:t>
      </w:r>
      <w:r w:rsidR="00FC509E" w:rsidRPr="00790B43">
        <w:rPr>
          <w:rFonts w:eastAsia="Times New Roman" w:cs="Times New Roman"/>
          <w:bCs/>
          <w:szCs w:val="20"/>
        </w:rPr>
        <w:t>vet</w:t>
      </w:r>
      <w:r w:rsidRPr="00790B43">
        <w:rPr>
          <w:rFonts w:eastAsia="Times New Roman" w:cs="Times New Roman"/>
          <w:bCs/>
          <w:szCs w:val="20"/>
        </w:rPr>
        <w:t xml:space="preserve"> suggested limits to maintain them.</w:t>
      </w:r>
    </w:p>
    <w:p w14:paraId="274B64BC" w14:textId="77777777" w:rsidR="00790B43" w:rsidRPr="00790B43" w:rsidRDefault="00790B43" w:rsidP="00790B43">
      <w:pPr>
        <w:rPr>
          <w:rFonts w:eastAsia="Times New Roman" w:cs="Times New Roman"/>
          <w:bCs/>
          <w:szCs w:val="20"/>
        </w:rPr>
      </w:pPr>
    </w:p>
    <w:p w14:paraId="126454BF" w14:textId="77777777" w:rsidR="00790B43" w:rsidRPr="00AA520A" w:rsidRDefault="00790B43" w:rsidP="00790B43">
      <w:pPr>
        <w:rPr>
          <w:rFonts w:eastAsia="Times New Roman" w:cs="Times New Roman"/>
          <w:b/>
          <w:bCs/>
          <w:iCs/>
          <w:color w:val="C45911" w:themeColor="accent2" w:themeShade="BF"/>
          <w:szCs w:val="20"/>
        </w:rPr>
      </w:pPr>
      <w:r w:rsidRPr="00AA520A">
        <w:rPr>
          <w:rFonts w:eastAsia="Times New Roman" w:cs="Times New Roman"/>
          <w:b/>
          <w:bCs/>
          <w:iCs/>
          <w:color w:val="C45911" w:themeColor="accent2" w:themeShade="BF"/>
          <w:szCs w:val="20"/>
        </w:rPr>
        <w:t>4.5. Data Analysis</w:t>
      </w:r>
    </w:p>
    <w:p w14:paraId="475746EE" w14:textId="77777777" w:rsidR="00424237" w:rsidRDefault="00FC509E" w:rsidP="00790B43">
      <w:pPr>
        <w:rPr>
          <w:rFonts w:eastAsia="Times New Roman" w:cs="Times New Roman"/>
          <w:bCs/>
          <w:szCs w:val="20"/>
        </w:rPr>
      </w:pPr>
      <w:r>
        <w:rPr>
          <w:rFonts w:eastAsia="Times New Roman" w:cs="Times New Roman"/>
          <w:bCs/>
          <w:szCs w:val="20"/>
        </w:rPr>
        <w:t>The data</w:t>
      </w:r>
      <w:r w:rsidR="00790B43" w:rsidRPr="00120553">
        <w:rPr>
          <w:rFonts w:eastAsia="Times New Roman" w:cs="Times New Roman"/>
          <w:bCs/>
          <w:szCs w:val="20"/>
        </w:rPr>
        <w:t xml:space="preserve"> were analyzed in two major phases: </w:t>
      </w:r>
      <w:r w:rsidR="00AA520A" w:rsidRPr="00120553">
        <w:rPr>
          <w:rFonts w:eastAsia="Times New Roman" w:cs="Times New Roman"/>
          <w:bCs/>
          <w:szCs w:val="20"/>
        </w:rPr>
        <w:t>measurement</w:t>
      </w:r>
      <w:r w:rsidR="00790B43" w:rsidRPr="00120553">
        <w:rPr>
          <w:rFonts w:eastAsia="Times New Roman" w:cs="Times New Roman"/>
          <w:bCs/>
          <w:szCs w:val="20"/>
        </w:rPr>
        <w:t xml:space="preserve"> and the structural phases. The </w:t>
      </w:r>
      <w:r>
        <w:rPr>
          <w:rFonts w:eastAsia="Times New Roman" w:cs="Times New Roman"/>
          <w:bCs/>
          <w:szCs w:val="20"/>
        </w:rPr>
        <w:t>reliability</w:t>
      </w:r>
      <w:r w:rsidR="00790B43" w:rsidRPr="00120553">
        <w:rPr>
          <w:rFonts w:eastAsia="Times New Roman" w:cs="Times New Roman"/>
          <w:bCs/>
          <w:szCs w:val="20"/>
        </w:rPr>
        <w:t xml:space="preserve"> and validity were tested based on Cronbach’s alpha, CR</w:t>
      </w:r>
      <w:r>
        <w:rPr>
          <w:rFonts w:eastAsia="Times New Roman" w:cs="Times New Roman"/>
          <w:bCs/>
          <w:szCs w:val="20"/>
        </w:rPr>
        <w:t>,</w:t>
      </w:r>
      <w:r w:rsidR="00790B43" w:rsidRPr="00120553">
        <w:rPr>
          <w:rFonts w:eastAsia="Times New Roman" w:cs="Times New Roman"/>
          <w:bCs/>
          <w:szCs w:val="20"/>
        </w:rPr>
        <w:t xml:space="preserve"> and AVE. All the </w:t>
      </w:r>
      <w:r w:rsidRPr="00120553">
        <w:rPr>
          <w:rFonts w:eastAsia="Times New Roman" w:cs="Times New Roman"/>
          <w:bCs/>
          <w:szCs w:val="20"/>
        </w:rPr>
        <w:t>constructions</w:t>
      </w:r>
      <w:r w:rsidR="00790B43" w:rsidRPr="00120553">
        <w:rPr>
          <w:rFonts w:eastAsia="Times New Roman" w:cs="Times New Roman"/>
          <w:bCs/>
          <w:szCs w:val="20"/>
        </w:rPr>
        <w:t xml:space="preserve"> showed a </w:t>
      </w:r>
      <w:r>
        <w:rPr>
          <w:rFonts w:eastAsia="Times New Roman" w:cs="Times New Roman"/>
          <w:bCs/>
          <w:szCs w:val="20"/>
        </w:rPr>
        <w:t>highly</w:t>
      </w:r>
      <w:r w:rsidR="00790B43" w:rsidRPr="00120553">
        <w:rPr>
          <w:rFonts w:eastAsia="Times New Roman" w:cs="Times New Roman"/>
          <w:bCs/>
          <w:szCs w:val="20"/>
        </w:rPr>
        <w:t xml:space="preserve"> reliable value (Cronbach’s alpha and composite reliability </w:t>
      </w:r>
      <w:r>
        <w:rPr>
          <w:rFonts w:eastAsia="Times New Roman" w:cs="Times New Roman"/>
          <w:bCs/>
          <w:szCs w:val="20"/>
        </w:rPr>
        <w:t>more than</w:t>
      </w:r>
      <w:r w:rsidR="00790B43" w:rsidRPr="00120553">
        <w:rPr>
          <w:rFonts w:eastAsia="Times New Roman" w:cs="Times New Roman"/>
          <w:bCs/>
          <w:szCs w:val="20"/>
        </w:rPr>
        <w:t xml:space="preserve"> 0.70 and AVE &gt; 0.50). </w:t>
      </w:r>
    </w:p>
    <w:p w14:paraId="5BEBC0FD" w14:textId="77777777" w:rsidR="00424237" w:rsidRDefault="00424237" w:rsidP="00790B43">
      <w:pPr>
        <w:rPr>
          <w:rFonts w:eastAsia="Times New Roman" w:cs="Times New Roman"/>
          <w:bCs/>
          <w:szCs w:val="20"/>
        </w:rPr>
      </w:pPr>
    </w:p>
    <w:p w14:paraId="7F1E2624" w14:textId="77777777" w:rsidR="00424237" w:rsidRDefault="00790B43" w:rsidP="00790B43">
      <w:pPr>
        <w:rPr>
          <w:rFonts w:eastAsia="Times New Roman" w:cs="Times New Roman"/>
          <w:bCs/>
          <w:szCs w:val="20"/>
        </w:rPr>
      </w:pPr>
      <w:r w:rsidRPr="00120553">
        <w:rPr>
          <w:rFonts w:eastAsia="Times New Roman" w:cs="Times New Roman"/>
          <w:bCs/>
          <w:szCs w:val="20"/>
        </w:rPr>
        <w:t xml:space="preserve">Discriminant validity was established through the </w:t>
      </w:r>
      <w:r w:rsidR="00FC509E">
        <w:rPr>
          <w:rFonts w:eastAsia="Times New Roman" w:cs="Times New Roman"/>
          <w:bCs/>
          <w:szCs w:val="20"/>
        </w:rPr>
        <w:t>measure of</w:t>
      </w:r>
      <w:r w:rsidRPr="00120553">
        <w:rPr>
          <w:rFonts w:eastAsia="Times New Roman" w:cs="Times New Roman"/>
          <w:bCs/>
          <w:szCs w:val="20"/>
        </w:rPr>
        <w:t xml:space="preserve"> </w:t>
      </w:r>
      <w:r w:rsidR="00FC509E">
        <w:rPr>
          <w:rFonts w:eastAsia="Times New Roman" w:cs="Times New Roman"/>
          <w:bCs/>
          <w:szCs w:val="20"/>
        </w:rPr>
        <w:t xml:space="preserve">the </w:t>
      </w:r>
      <w:r w:rsidRPr="00120553">
        <w:rPr>
          <w:rFonts w:eastAsia="Times New Roman" w:cs="Times New Roman"/>
          <w:bCs/>
          <w:szCs w:val="20"/>
        </w:rPr>
        <w:t xml:space="preserve">HTMT ratio, which was less than 0.85 among all constructs. PLS-SEM was applied to analyze the relationships among the </w:t>
      </w:r>
      <w:r w:rsidR="00B071D6">
        <w:rPr>
          <w:rFonts w:eastAsia="Times New Roman" w:cs="Times New Roman"/>
          <w:bCs/>
          <w:szCs w:val="20"/>
        </w:rPr>
        <w:t>constructions</w:t>
      </w:r>
      <w:r w:rsidRPr="00120553">
        <w:rPr>
          <w:rFonts w:eastAsia="Times New Roman" w:cs="Times New Roman"/>
          <w:bCs/>
          <w:szCs w:val="20"/>
        </w:rPr>
        <w:t>. The hypotheses were examined by calculating path coefficients (β), t-values</w:t>
      </w:r>
      <w:r w:rsidR="00FC509E">
        <w:rPr>
          <w:rFonts w:eastAsia="Times New Roman" w:cs="Times New Roman"/>
          <w:bCs/>
          <w:szCs w:val="20"/>
        </w:rPr>
        <w:t>,</w:t>
      </w:r>
      <w:r w:rsidRPr="00120553">
        <w:rPr>
          <w:rFonts w:eastAsia="Times New Roman" w:cs="Times New Roman"/>
          <w:bCs/>
          <w:szCs w:val="20"/>
        </w:rPr>
        <w:t xml:space="preserve"> and p-values with 5000 subsampling bootstraps (Hair et al., 2019). This study also conducted </w:t>
      </w:r>
      <w:r w:rsidR="00FC509E">
        <w:rPr>
          <w:rFonts w:eastAsia="Times New Roman" w:cs="Times New Roman"/>
          <w:bCs/>
          <w:szCs w:val="20"/>
        </w:rPr>
        <w:t xml:space="preserve">a </w:t>
      </w:r>
      <w:r w:rsidRPr="00120553">
        <w:rPr>
          <w:rFonts w:eastAsia="Times New Roman" w:cs="Times New Roman"/>
          <w:bCs/>
          <w:szCs w:val="20"/>
        </w:rPr>
        <w:t xml:space="preserve">mediation analysis to examine the mediating effects of TR and SCA on the association between AI-SCI and ES. </w:t>
      </w:r>
    </w:p>
    <w:p w14:paraId="172A9B25" w14:textId="77777777" w:rsidR="00424237" w:rsidRDefault="00424237" w:rsidP="00790B43">
      <w:pPr>
        <w:rPr>
          <w:rFonts w:eastAsia="Times New Roman" w:cs="Times New Roman"/>
          <w:bCs/>
          <w:szCs w:val="20"/>
        </w:rPr>
      </w:pPr>
    </w:p>
    <w:p w14:paraId="2E13CBB3" w14:textId="42AA37C7" w:rsidR="00790B43" w:rsidRPr="00120553" w:rsidRDefault="00790B43" w:rsidP="00790B43">
      <w:pPr>
        <w:rPr>
          <w:rFonts w:eastAsia="Times New Roman" w:cs="Times New Roman"/>
          <w:bCs/>
          <w:szCs w:val="20"/>
        </w:rPr>
      </w:pPr>
      <w:r w:rsidRPr="00120553">
        <w:rPr>
          <w:rFonts w:eastAsia="Times New Roman" w:cs="Times New Roman"/>
          <w:bCs/>
          <w:szCs w:val="20"/>
        </w:rPr>
        <w:t>Mediation was used in the analysis following the approach described by Preacher and Hayes (2004) in which the confounding indirect effects are estimated and tested using a bootstrapping procedure.</w:t>
      </w:r>
    </w:p>
    <w:p w14:paraId="607C4A24" w14:textId="77777777" w:rsidR="00790B43" w:rsidRDefault="00790B43" w:rsidP="00790B43">
      <w:pPr>
        <w:spacing w:line="278" w:lineRule="auto"/>
        <w:rPr>
          <w:rFonts w:eastAsia="Aptos" w:cs="Times New Roman"/>
          <w:b/>
          <w:bCs/>
          <w:kern w:val="2"/>
          <w:szCs w:val="20"/>
          <w14:ligatures w14:val="standardContextual"/>
        </w:rPr>
      </w:pPr>
    </w:p>
    <w:p w14:paraId="1B353A8C" w14:textId="590B5F25" w:rsidR="00790B43" w:rsidRPr="00AA520A" w:rsidRDefault="00790B43" w:rsidP="00790B43">
      <w:pPr>
        <w:spacing w:line="278" w:lineRule="auto"/>
        <w:rPr>
          <w:rFonts w:eastAsia="Aptos" w:cs="Times New Roman"/>
          <w:b/>
          <w:bCs/>
          <w:color w:val="C45911" w:themeColor="accent2" w:themeShade="BF"/>
          <w:kern w:val="2"/>
          <w:szCs w:val="20"/>
          <w14:ligatures w14:val="standardContextual"/>
        </w:rPr>
      </w:pPr>
      <w:r w:rsidRPr="00AA520A">
        <w:rPr>
          <w:rFonts w:eastAsia="Aptos" w:cs="Times New Roman"/>
          <w:b/>
          <w:bCs/>
          <w:color w:val="C45911" w:themeColor="accent2" w:themeShade="BF"/>
          <w:kern w:val="2"/>
          <w:szCs w:val="20"/>
          <w14:ligatures w14:val="standardContextual"/>
        </w:rPr>
        <w:t>5.</w:t>
      </w:r>
      <w:r w:rsidR="001C6B02">
        <w:rPr>
          <w:rFonts w:eastAsia="Aptos" w:cs="Times New Roman"/>
          <w:b/>
          <w:bCs/>
          <w:color w:val="C45911" w:themeColor="accent2" w:themeShade="BF"/>
          <w:kern w:val="2"/>
          <w:szCs w:val="20"/>
          <w14:ligatures w14:val="standardContextual"/>
        </w:rPr>
        <w:t xml:space="preserve"> </w:t>
      </w:r>
      <w:r w:rsidRPr="00AA520A">
        <w:rPr>
          <w:rFonts w:eastAsia="Aptos" w:cs="Times New Roman"/>
          <w:b/>
          <w:bCs/>
          <w:color w:val="C45911" w:themeColor="accent2" w:themeShade="BF"/>
          <w:kern w:val="2"/>
          <w:szCs w:val="20"/>
          <w14:ligatures w14:val="standardContextual"/>
        </w:rPr>
        <w:t xml:space="preserve">Analysis </w:t>
      </w:r>
    </w:p>
    <w:p w14:paraId="6413BCD0" w14:textId="77777777" w:rsidR="00790B43" w:rsidRPr="00AA520A" w:rsidRDefault="00790B43" w:rsidP="00790B43">
      <w:pPr>
        <w:spacing w:line="278" w:lineRule="auto"/>
        <w:rPr>
          <w:rFonts w:eastAsia="Aptos" w:cs="Times New Roman"/>
          <w:b/>
          <w:bCs/>
          <w:color w:val="C45911" w:themeColor="accent2" w:themeShade="BF"/>
          <w:kern w:val="2"/>
          <w:szCs w:val="20"/>
          <w14:ligatures w14:val="standardContextual"/>
        </w:rPr>
      </w:pPr>
      <w:r w:rsidRPr="00AA520A">
        <w:rPr>
          <w:rFonts w:eastAsia="Aptos" w:cs="Times New Roman"/>
          <w:b/>
          <w:bCs/>
          <w:color w:val="C45911" w:themeColor="accent2" w:themeShade="BF"/>
          <w:kern w:val="2"/>
          <w:szCs w:val="20"/>
          <w14:ligatures w14:val="standardContextual"/>
        </w:rPr>
        <w:t>5.1 Evaluation of Measurement Models</w:t>
      </w:r>
    </w:p>
    <w:p w14:paraId="7411B20F" w14:textId="77777777" w:rsidR="00424237" w:rsidRDefault="00790B43" w:rsidP="00790B43">
      <w:pPr>
        <w:rPr>
          <w:rFonts w:eastAsia="Times New Roman" w:cs="Times New Roman"/>
          <w:szCs w:val="20"/>
        </w:rPr>
      </w:pPr>
      <w:r w:rsidRPr="00120553">
        <w:rPr>
          <w:rFonts w:eastAsia="Times New Roman" w:cs="Times New Roman"/>
          <w:szCs w:val="20"/>
        </w:rPr>
        <w:t xml:space="preserve">To assess a measurement model, convergent validity is determined through reliability evaluation and the alteration of average loadings. The model's fit is satisfactory. Apart from minor values, Table 2 and Fig. 2 indicate that loading results in a 0.60 rise in recommendation value. The collective average variance, valued at 0.50, was considered acceptable according to established learning theories and recommended studies </w:t>
      </w:r>
      <w:r w:rsidR="001C6B02">
        <w:rPr>
          <w:rFonts w:eastAsia="Times New Roman" w:cs="Times New Roman"/>
          <w:szCs w:val="20"/>
        </w:rPr>
        <w:t>[61]</w:t>
      </w:r>
      <w:r w:rsidRPr="00120553">
        <w:rPr>
          <w:rFonts w:eastAsia="Times New Roman" w:cs="Times New Roman"/>
          <w:szCs w:val="20"/>
        </w:rPr>
        <w:t xml:space="preserve">. </w:t>
      </w:r>
    </w:p>
    <w:p w14:paraId="341ED46B" w14:textId="77777777" w:rsidR="00424237" w:rsidRDefault="00424237" w:rsidP="00790B43">
      <w:pPr>
        <w:rPr>
          <w:rFonts w:eastAsia="Times New Roman" w:cs="Times New Roman"/>
          <w:szCs w:val="20"/>
        </w:rPr>
      </w:pPr>
    </w:p>
    <w:p w14:paraId="167AE1DB" w14:textId="77777777" w:rsidR="00424237" w:rsidRDefault="00790B43" w:rsidP="00790B43">
      <w:pPr>
        <w:rPr>
          <w:rFonts w:eastAsia="Times New Roman" w:cs="Times New Roman"/>
          <w:szCs w:val="20"/>
        </w:rPr>
      </w:pPr>
      <w:r w:rsidRPr="00120553">
        <w:rPr>
          <w:rFonts w:eastAsia="Times New Roman" w:cs="Times New Roman"/>
          <w:szCs w:val="20"/>
        </w:rPr>
        <w:t xml:space="preserve">Items with a loading effect of less than 0.50 have been excluded from the scale. The discriminant validity of the variable statements was assessed utilizing the HTMT technique. All principles were assessed to fulfill this condition once a limited number of elements were removed from the model, leading to the conclusion that they exhibited discriminant validity. </w:t>
      </w:r>
    </w:p>
    <w:p w14:paraId="7BA4F127" w14:textId="77777777" w:rsidR="00424237" w:rsidRDefault="00424237" w:rsidP="00790B43">
      <w:pPr>
        <w:rPr>
          <w:rFonts w:eastAsia="Times New Roman" w:cs="Times New Roman"/>
          <w:szCs w:val="20"/>
        </w:rPr>
      </w:pPr>
    </w:p>
    <w:p w14:paraId="4FFEA34B" w14:textId="01C45438" w:rsidR="00A054E9" w:rsidRPr="00424237" w:rsidRDefault="00790B43" w:rsidP="00424237">
      <w:pPr>
        <w:rPr>
          <w:rFonts w:eastAsia="Times New Roman" w:cs="Times New Roman"/>
          <w:szCs w:val="20"/>
        </w:rPr>
      </w:pPr>
      <w:r w:rsidRPr="00120553">
        <w:rPr>
          <w:rFonts w:eastAsia="Times New Roman" w:cs="Times New Roman"/>
          <w:szCs w:val="20"/>
        </w:rPr>
        <w:t xml:space="preserve">The current analysis exhibits no apparent issues with discriminant validity, as evidenced by the outcomes of both tests. Table 1 presents the demographic information concerning the respondents' gender, encompassing frequency distribution, percentage, and cumulative percentage. </w:t>
      </w:r>
    </w:p>
    <w:p w14:paraId="71234C4A" w14:textId="77777777" w:rsidR="00A054E9" w:rsidRDefault="00A054E9" w:rsidP="007E4A99">
      <w:pPr>
        <w:jc w:val="center"/>
        <w:rPr>
          <w:rFonts w:eastAsia="Aptos" w:cs="Times New Roman"/>
          <w:b/>
          <w:bCs/>
          <w:kern w:val="2"/>
          <w:szCs w:val="20"/>
          <w14:ligatures w14:val="standardContextual"/>
        </w:rPr>
      </w:pPr>
    </w:p>
    <w:p w14:paraId="790A603C" w14:textId="745E114F" w:rsidR="0081049C" w:rsidRPr="007E4A99" w:rsidRDefault="007E4A99" w:rsidP="007E4A99">
      <w:pPr>
        <w:jc w:val="center"/>
        <w:rPr>
          <w:rFonts w:eastAsia="Aptos" w:cs="Times New Roman"/>
          <w:kern w:val="2"/>
          <w:szCs w:val="20"/>
          <w14:ligatures w14:val="standardContextual"/>
        </w:rPr>
      </w:pPr>
      <w:r w:rsidRPr="007E4A99">
        <w:rPr>
          <w:rFonts w:eastAsia="Aptos" w:cs="Times New Roman"/>
          <w:b/>
          <w:bCs/>
          <w:kern w:val="2"/>
          <w:szCs w:val="20"/>
          <w14:ligatures w14:val="standardContextual"/>
        </w:rPr>
        <w:t>Table 1</w:t>
      </w:r>
      <w:r w:rsidR="0090192B">
        <w:rPr>
          <w:rFonts w:eastAsia="Aptos" w:cs="Times New Roman"/>
          <w:b/>
          <w:bCs/>
          <w:kern w:val="2"/>
          <w:szCs w:val="20"/>
          <w14:ligatures w14:val="standardContextual"/>
        </w:rPr>
        <w:t>:</w:t>
      </w:r>
      <w:r>
        <w:rPr>
          <w:rFonts w:eastAsia="Aptos" w:cs="Times New Roman"/>
          <w:kern w:val="2"/>
          <w:szCs w:val="20"/>
          <w14:ligatures w14:val="standardContextual"/>
        </w:rPr>
        <w:t xml:space="preserve"> </w:t>
      </w:r>
      <w:r w:rsidRPr="00120553">
        <w:rPr>
          <w:rFonts w:eastAsia="Aptos" w:cs="Times New Roman"/>
          <w:kern w:val="2"/>
          <w:szCs w:val="20"/>
          <w14:ligatures w14:val="standardContextual"/>
        </w:rPr>
        <w:t xml:space="preserve"> Demographic Profile</w:t>
      </w:r>
      <w:r w:rsidR="00A054E9">
        <w:rPr>
          <w:rFonts w:eastAsia="Aptos" w:cs="Times New Roman"/>
          <w:kern w:val="2"/>
          <w:szCs w:val="20"/>
          <w14:ligatures w14:val="standardContextual"/>
        </w:rPr>
        <w:t xml:space="preserve"> of selected variables</w:t>
      </w:r>
    </w:p>
    <w:tbl>
      <w:tblPr>
        <w:tblStyle w:val="PlainTable4"/>
        <w:tblW w:w="5000" w:type="pct"/>
        <w:tblLook w:val="04A0" w:firstRow="1" w:lastRow="0" w:firstColumn="1" w:lastColumn="0" w:noHBand="0" w:noVBand="1"/>
      </w:tblPr>
      <w:tblGrid>
        <w:gridCol w:w="3165"/>
        <w:gridCol w:w="3312"/>
        <w:gridCol w:w="1612"/>
        <w:gridCol w:w="1657"/>
      </w:tblGrid>
      <w:tr w:rsidR="00AA520A" w:rsidRPr="00120553" w14:paraId="59BEC572" w14:textId="77777777" w:rsidTr="00AA520A">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23" w:type="pct"/>
            <w:tcBorders>
              <w:top w:val="single" w:sz="12" w:space="0" w:color="auto"/>
              <w:bottom w:val="single" w:sz="8" w:space="0" w:color="auto"/>
            </w:tcBorders>
            <w:hideMark/>
          </w:tcPr>
          <w:p w14:paraId="39F6901A" w14:textId="77777777" w:rsidR="00AA520A" w:rsidRPr="00120553" w:rsidRDefault="00AA520A" w:rsidP="007618DF">
            <w:pPr>
              <w:rPr>
                <w:rFonts w:eastAsia="Times New Roman" w:cs="Times New Roman"/>
                <w:szCs w:val="20"/>
              </w:rPr>
            </w:pPr>
            <w:r w:rsidRPr="00120553">
              <w:rPr>
                <w:rFonts w:eastAsia="Times New Roman" w:cs="Times New Roman"/>
                <w:szCs w:val="20"/>
              </w:rPr>
              <w:t>Demographic Variable</w:t>
            </w:r>
          </w:p>
        </w:tc>
        <w:tc>
          <w:tcPr>
            <w:tcW w:w="1699" w:type="pct"/>
            <w:tcBorders>
              <w:top w:val="single" w:sz="12" w:space="0" w:color="auto"/>
              <w:bottom w:val="single" w:sz="8" w:space="0" w:color="auto"/>
            </w:tcBorders>
            <w:hideMark/>
          </w:tcPr>
          <w:p w14:paraId="4302FF8D"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Category</w:t>
            </w:r>
          </w:p>
        </w:tc>
        <w:tc>
          <w:tcPr>
            <w:tcW w:w="827" w:type="pct"/>
            <w:tcBorders>
              <w:top w:val="single" w:sz="12" w:space="0" w:color="auto"/>
              <w:bottom w:val="single" w:sz="8" w:space="0" w:color="auto"/>
            </w:tcBorders>
            <w:hideMark/>
          </w:tcPr>
          <w:p w14:paraId="65129059"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Frequency</w:t>
            </w:r>
          </w:p>
        </w:tc>
        <w:tc>
          <w:tcPr>
            <w:tcW w:w="850" w:type="pct"/>
            <w:tcBorders>
              <w:top w:val="single" w:sz="12" w:space="0" w:color="auto"/>
              <w:bottom w:val="single" w:sz="8" w:space="0" w:color="auto"/>
            </w:tcBorders>
            <w:hideMark/>
          </w:tcPr>
          <w:p w14:paraId="14389527"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Percentage</w:t>
            </w:r>
          </w:p>
        </w:tc>
      </w:tr>
      <w:tr w:rsidR="00AA520A" w:rsidRPr="00120553" w14:paraId="530977CA"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tcBorders>
              <w:top w:val="single" w:sz="8" w:space="0" w:color="auto"/>
            </w:tcBorders>
            <w:hideMark/>
          </w:tcPr>
          <w:p w14:paraId="06A97CCF" w14:textId="77777777" w:rsidR="00AA520A" w:rsidRPr="00120553" w:rsidRDefault="00AA520A" w:rsidP="007618DF">
            <w:pPr>
              <w:rPr>
                <w:rFonts w:eastAsia="Times New Roman" w:cs="Times New Roman"/>
                <w:szCs w:val="20"/>
              </w:rPr>
            </w:pPr>
            <w:r w:rsidRPr="00120553">
              <w:rPr>
                <w:rFonts w:eastAsia="Times New Roman" w:cs="Times New Roman"/>
                <w:szCs w:val="20"/>
              </w:rPr>
              <w:t>Age</w:t>
            </w:r>
          </w:p>
        </w:tc>
        <w:tc>
          <w:tcPr>
            <w:tcW w:w="1699" w:type="pct"/>
            <w:tcBorders>
              <w:top w:val="single" w:sz="8" w:space="0" w:color="auto"/>
            </w:tcBorders>
            <w:hideMark/>
          </w:tcPr>
          <w:p w14:paraId="2F25D53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20–30 years</w:t>
            </w:r>
          </w:p>
        </w:tc>
        <w:tc>
          <w:tcPr>
            <w:tcW w:w="827" w:type="pct"/>
            <w:tcBorders>
              <w:top w:val="single" w:sz="8" w:space="0" w:color="auto"/>
            </w:tcBorders>
            <w:hideMark/>
          </w:tcPr>
          <w:p w14:paraId="597235F0"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58</w:t>
            </w:r>
          </w:p>
        </w:tc>
        <w:tc>
          <w:tcPr>
            <w:tcW w:w="850" w:type="pct"/>
            <w:tcBorders>
              <w:top w:val="single" w:sz="8" w:space="0" w:color="auto"/>
            </w:tcBorders>
            <w:hideMark/>
          </w:tcPr>
          <w:p w14:paraId="0D8C1B8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14.9%</w:t>
            </w:r>
          </w:p>
        </w:tc>
      </w:tr>
      <w:tr w:rsidR="00AA520A" w:rsidRPr="00120553" w14:paraId="4E14CE8B"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2D45677C" w14:textId="77777777" w:rsidR="00AA520A" w:rsidRPr="00120553" w:rsidRDefault="00AA520A" w:rsidP="007618DF">
            <w:pPr>
              <w:rPr>
                <w:rFonts w:eastAsia="Times New Roman" w:cs="Times New Roman"/>
                <w:szCs w:val="20"/>
              </w:rPr>
            </w:pPr>
          </w:p>
        </w:tc>
        <w:tc>
          <w:tcPr>
            <w:tcW w:w="1699" w:type="pct"/>
            <w:hideMark/>
          </w:tcPr>
          <w:p w14:paraId="5A9FD77D"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31–40 years</w:t>
            </w:r>
          </w:p>
        </w:tc>
        <w:tc>
          <w:tcPr>
            <w:tcW w:w="827" w:type="pct"/>
            <w:hideMark/>
          </w:tcPr>
          <w:p w14:paraId="411AAF46"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155</w:t>
            </w:r>
          </w:p>
        </w:tc>
        <w:tc>
          <w:tcPr>
            <w:tcW w:w="850" w:type="pct"/>
            <w:hideMark/>
          </w:tcPr>
          <w:p w14:paraId="37C2FA9B"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40.0%</w:t>
            </w:r>
          </w:p>
        </w:tc>
      </w:tr>
      <w:tr w:rsidR="00AA520A" w:rsidRPr="00120553" w14:paraId="7DB89AA7"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0F449A38" w14:textId="77777777" w:rsidR="00AA520A" w:rsidRPr="00120553" w:rsidRDefault="00AA520A" w:rsidP="007618DF">
            <w:pPr>
              <w:rPr>
                <w:rFonts w:eastAsia="Times New Roman" w:cs="Times New Roman"/>
                <w:szCs w:val="20"/>
              </w:rPr>
            </w:pPr>
          </w:p>
        </w:tc>
        <w:tc>
          <w:tcPr>
            <w:tcW w:w="1699" w:type="pct"/>
            <w:hideMark/>
          </w:tcPr>
          <w:p w14:paraId="55DD0326"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41–50 years</w:t>
            </w:r>
          </w:p>
        </w:tc>
        <w:tc>
          <w:tcPr>
            <w:tcW w:w="827" w:type="pct"/>
            <w:hideMark/>
          </w:tcPr>
          <w:p w14:paraId="1ACEBA7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137</w:t>
            </w:r>
          </w:p>
        </w:tc>
        <w:tc>
          <w:tcPr>
            <w:tcW w:w="850" w:type="pct"/>
            <w:hideMark/>
          </w:tcPr>
          <w:p w14:paraId="07D47C7E"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35.1%</w:t>
            </w:r>
          </w:p>
        </w:tc>
      </w:tr>
      <w:tr w:rsidR="00AA520A" w:rsidRPr="00120553" w14:paraId="54A5E95B"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2E11F14E" w14:textId="77777777" w:rsidR="00AA520A" w:rsidRPr="00120553" w:rsidRDefault="00AA520A" w:rsidP="007618DF">
            <w:pPr>
              <w:rPr>
                <w:rFonts w:eastAsia="Times New Roman" w:cs="Times New Roman"/>
                <w:szCs w:val="20"/>
              </w:rPr>
            </w:pPr>
          </w:p>
        </w:tc>
        <w:tc>
          <w:tcPr>
            <w:tcW w:w="1699" w:type="pct"/>
            <w:hideMark/>
          </w:tcPr>
          <w:p w14:paraId="016301E6"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51+ years</w:t>
            </w:r>
          </w:p>
        </w:tc>
        <w:tc>
          <w:tcPr>
            <w:tcW w:w="827" w:type="pct"/>
            <w:hideMark/>
          </w:tcPr>
          <w:p w14:paraId="4E4C8FBF"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39</w:t>
            </w:r>
          </w:p>
        </w:tc>
        <w:tc>
          <w:tcPr>
            <w:tcW w:w="850" w:type="pct"/>
            <w:hideMark/>
          </w:tcPr>
          <w:p w14:paraId="6A337F42"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10.0%</w:t>
            </w:r>
          </w:p>
        </w:tc>
      </w:tr>
      <w:tr w:rsidR="00AA520A" w:rsidRPr="00120553" w14:paraId="16E4C7B8"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7BF634DA" w14:textId="77777777" w:rsidR="00AA520A" w:rsidRPr="00120553" w:rsidRDefault="00AA520A" w:rsidP="007618DF">
            <w:pPr>
              <w:rPr>
                <w:rFonts w:eastAsia="Times New Roman" w:cs="Times New Roman"/>
                <w:szCs w:val="20"/>
              </w:rPr>
            </w:pPr>
            <w:r w:rsidRPr="00120553">
              <w:rPr>
                <w:rFonts w:eastAsia="Times New Roman" w:cs="Times New Roman"/>
                <w:szCs w:val="20"/>
              </w:rPr>
              <w:t>Gender</w:t>
            </w:r>
          </w:p>
        </w:tc>
        <w:tc>
          <w:tcPr>
            <w:tcW w:w="1699" w:type="pct"/>
            <w:hideMark/>
          </w:tcPr>
          <w:p w14:paraId="2F568582"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Male</w:t>
            </w:r>
          </w:p>
        </w:tc>
        <w:tc>
          <w:tcPr>
            <w:tcW w:w="827" w:type="pct"/>
            <w:hideMark/>
          </w:tcPr>
          <w:p w14:paraId="254C9EE0"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272</w:t>
            </w:r>
          </w:p>
        </w:tc>
        <w:tc>
          <w:tcPr>
            <w:tcW w:w="850" w:type="pct"/>
            <w:hideMark/>
          </w:tcPr>
          <w:p w14:paraId="0777B844"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70.0%</w:t>
            </w:r>
          </w:p>
        </w:tc>
      </w:tr>
      <w:tr w:rsidR="00AA520A" w:rsidRPr="00120553" w14:paraId="2C18332F"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61CEAE77" w14:textId="77777777" w:rsidR="00AA520A" w:rsidRPr="00120553" w:rsidRDefault="00AA520A" w:rsidP="007618DF">
            <w:pPr>
              <w:rPr>
                <w:rFonts w:eastAsia="Times New Roman" w:cs="Times New Roman"/>
                <w:szCs w:val="20"/>
              </w:rPr>
            </w:pPr>
          </w:p>
        </w:tc>
        <w:tc>
          <w:tcPr>
            <w:tcW w:w="1699" w:type="pct"/>
            <w:hideMark/>
          </w:tcPr>
          <w:p w14:paraId="5107F627"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Female</w:t>
            </w:r>
          </w:p>
        </w:tc>
        <w:tc>
          <w:tcPr>
            <w:tcW w:w="827" w:type="pct"/>
            <w:hideMark/>
          </w:tcPr>
          <w:p w14:paraId="397B17BA"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109</w:t>
            </w:r>
          </w:p>
        </w:tc>
        <w:tc>
          <w:tcPr>
            <w:tcW w:w="850" w:type="pct"/>
            <w:hideMark/>
          </w:tcPr>
          <w:p w14:paraId="424A0114"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28.0%</w:t>
            </w:r>
          </w:p>
        </w:tc>
      </w:tr>
      <w:tr w:rsidR="00AA520A" w:rsidRPr="00120553" w14:paraId="114A8E99" w14:textId="77777777" w:rsidTr="00AA520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23" w:type="pct"/>
            <w:hideMark/>
          </w:tcPr>
          <w:p w14:paraId="37706086" w14:textId="77777777" w:rsidR="00AA520A" w:rsidRPr="00120553" w:rsidRDefault="00AA520A" w:rsidP="007618DF">
            <w:pPr>
              <w:rPr>
                <w:rFonts w:eastAsia="Times New Roman" w:cs="Times New Roman"/>
                <w:szCs w:val="20"/>
              </w:rPr>
            </w:pPr>
          </w:p>
        </w:tc>
        <w:tc>
          <w:tcPr>
            <w:tcW w:w="1699" w:type="pct"/>
            <w:hideMark/>
          </w:tcPr>
          <w:p w14:paraId="6D33D556"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Other/Prefer not to say</w:t>
            </w:r>
          </w:p>
        </w:tc>
        <w:tc>
          <w:tcPr>
            <w:tcW w:w="827" w:type="pct"/>
            <w:hideMark/>
          </w:tcPr>
          <w:p w14:paraId="788C2A37"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8</w:t>
            </w:r>
          </w:p>
        </w:tc>
        <w:tc>
          <w:tcPr>
            <w:tcW w:w="850" w:type="pct"/>
            <w:hideMark/>
          </w:tcPr>
          <w:p w14:paraId="343C886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2.0%</w:t>
            </w:r>
          </w:p>
        </w:tc>
      </w:tr>
      <w:tr w:rsidR="00AA520A" w:rsidRPr="00120553" w14:paraId="13E3FAC7"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744D449E" w14:textId="77777777" w:rsidR="00AA520A" w:rsidRPr="00120553" w:rsidRDefault="00AA520A" w:rsidP="007618DF">
            <w:pPr>
              <w:rPr>
                <w:rFonts w:eastAsia="Times New Roman" w:cs="Times New Roman"/>
                <w:szCs w:val="20"/>
              </w:rPr>
            </w:pPr>
            <w:r w:rsidRPr="00120553">
              <w:rPr>
                <w:rFonts w:eastAsia="Times New Roman" w:cs="Times New Roman"/>
                <w:szCs w:val="20"/>
              </w:rPr>
              <w:t>Education Level</w:t>
            </w:r>
          </w:p>
        </w:tc>
        <w:tc>
          <w:tcPr>
            <w:tcW w:w="1699" w:type="pct"/>
            <w:hideMark/>
          </w:tcPr>
          <w:p w14:paraId="534E54B6"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Diploma</w:t>
            </w:r>
          </w:p>
        </w:tc>
        <w:tc>
          <w:tcPr>
            <w:tcW w:w="827" w:type="pct"/>
            <w:hideMark/>
          </w:tcPr>
          <w:p w14:paraId="7F14B8EF"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20</w:t>
            </w:r>
          </w:p>
        </w:tc>
        <w:tc>
          <w:tcPr>
            <w:tcW w:w="850" w:type="pct"/>
            <w:hideMark/>
          </w:tcPr>
          <w:p w14:paraId="59079B77"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5.1%</w:t>
            </w:r>
          </w:p>
        </w:tc>
      </w:tr>
      <w:tr w:rsidR="00AA520A" w:rsidRPr="00120553" w14:paraId="06ABE3CA"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2C184FE7" w14:textId="77777777" w:rsidR="00AA520A" w:rsidRPr="00120553" w:rsidRDefault="00AA520A" w:rsidP="007618DF">
            <w:pPr>
              <w:rPr>
                <w:rFonts w:eastAsia="Times New Roman" w:cs="Times New Roman"/>
                <w:szCs w:val="20"/>
              </w:rPr>
            </w:pPr>
          </w:p>
        </w:tc>
        <w:tc>
          <w:tcPr>
            <w:tcW w:w="1699" w:type="pct"/>
            <w:hideMark/>
          </w:tcPr>
          <w:p w14:paraId="3BBE1FD1"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Bachelor’s Degree</w:t>
            </w:r>
          </w:p>
        </w:tc>
        <w:tc>
          <w:tcPr>
            <w:tcW w:w="827" w:type="pct"/>
            <w:hideMark/>
          </w:tcPr>
          <w:p w14:paraId="07D7790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156</w:t>
            </w:r>
          </w:p>
        </w:tc>
        <w:tc>
          <w:tcPr>
            <w:tcW w:w="850" w:type="pct"/>
            <w:hideMark/>
          </w:tcPr>
          <w:p w14:paraId="704AF528"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40.0%</w:t>
            </w:r>
          </w:p>
        </w:tc>
      </w:tr>
      <w:tr w:rsidR="00AA520A" w:rsidRPr="00120553" w14:paraId="786FF8AF"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0B4E715C" w14:textId="77777777" w:rsidR="00AA520A" w:rsidRPr="00120553" w:rsidRDefault="00AA520A" w:rsidP="007618DF">
            <w:pPr>
              <w:rPr>
                <w:rFonts w:eastAsia="Times New Roman" w:cs="Times New Roman"/>
                <w:szCs w:val="20"/>
              </w:rPr>
            </w:pPr>
          </w:p>
        </w:tc>
        <w:tc>
          <w:tcPr>
            <w:tcW w:w="1699" w:type="pct"/>
            <w:hideMark/>
          </w:tcPr>
          <w:p w14:paraId="5B5F9A01"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Master’s Degree</w:t>
            </w:r>
          </w:p>
        </w:tc>
        <w:tc>
          <w:tcPr>
            <w:tcW w:w="827" w:type="pct"/>
            <w:hideMark/>
          </w:tcPr>
          <w:p w14:paraId="7DA4126B"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213</w:t>
            </w:r>
          </w:p>
        </w:tc>
        <w:tc>
          <w:tcPr>
            <w:tcW w:w="850" w:type="pct"/>
            <w:hideMark/>
          </w:tcPr>
          <w:p w14:paraId="1A638EF4"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54.9%</w:t>
            </w:r>
          </w:p>
        </w:tc>
      </w:tr>
      <w:tr w:rsidR="00AA520A" w:rsidRPr="00120553" w14:paraId="375496E8"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7AA44DCD" w14:textId="77777777" w:rsidR="00AA520A" w:rsidRPr="00120553" w:rsidRDefault="00AA520A" w:rsidP="007618DF">
            <w:pPr>
              <w:rPr>
                <w:rFonts w:eastAsia="Times New Roman" w:cs="Times New Roman"/>
                <w:szCs w:val="20"/>
              </w:rPr>
            </w:pPr>
            <w:r w:rsidRPr="00120553">
              <w:rPr>
                <w:rFonts w:eastAsia="Times New Roman" w:cs="Times New Roman"/>
                <w:szCs w:val="20"/>
              </w:rPr>
              <w:t>Job Position</w:t>
            </w:r>
          </w:p>
        </w:tc>
        <w:tc>
          <w:tcPr>
            <w:tcW w:w="1699" w:type="pct"/>
            <w:hideMark/>
          </w:tcPr>
          <w:p w14:paraId="0C49B7F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Supply Chain Manager</w:t>
            </w:r>
          </w:p>
        </w:tc>
        <w:tc>
          <w:tcPr>
            <w:tcW w:w="827" w:type="pct"/>
            <w:hideMark/>
          </w:tcPr>
          <w:p w14:paraId="032380B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116</w:t>
            </w:r>
          </w:p>
        </w:tc>
        <w:tc>
          <w:tcPr>
            <w:tcW w:w="850" w:type="pct"/>
            <w:hideMark/>
          </w:tcPr>
          <w:p w14:paraId="040E6565"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30.0%</w:t>
            </w:r>
          </w:p>
        </w:tc>
      </w:tr>
      <w:tr w:rsidR="00AA520A" w:rsidRPr="00120553" w14:paraId="78CF1B72"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432E0A21" w14:textId="77777777" w:rsidR="00AA520A" w:rsidRPr="00120553" w:rsidRDefault="00AA520A" w:rsidP="007618DF">
            <w:pPr>
              <w:rPr>
                <w:rFonts w:eastAsia="Times New Roman" w:cs="Times New Roman"/>
                <w:szCs w:val="20"/>
              </w:rPr>
            </w:pPr>
          </w:p>
        </w:tc>
        <w:tc>
          <w:tcPr>
            <w:tcW w:w="1699" w:type="pct"/>
            <w:hideMark/>
          </w:tcPr>
          <w:p w14:paraId="584765F5"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Operations Manager</w:t>
            </w:r>
          </w:p>
        </w:tc>
        <w:tc>
          <w:tcPr>
            <w:tcW w:w="827" w:type="pct"/>
            <w:hideMark/>
          </w:tcPr>
          <w:p w14:paraId="461F5D44"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98</w:t>
            </w:r>
          </w:p>
        </w:tc>
        <w:tc>
          <w:tcPr>
            <w:tcW w:w="850" w:type="pct"/>
            <w:hideMark/>
          </w:tcPr>
          <w:p w14:paraId="3C49DDCF"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25.1%</w:t>
            </w:r>
          </w:p>
        </w:tc>
      </w:tr>
      <w:tr w:rsidR="00AA520A" w:rsidRPr="00120553" w14:paraId="1AD41663"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3C5CEF08" w14:textId="77777777" w:rsidR="00AA520A" w:rsidRPr="00120553" w:rsidRDefault="00AA520A" w:rsidP="007618DF">
            <w:pPr>
              <w:rPr>
                <w:rFonts w:eastAsia="Times New Roman" w:cs="Times New Roman"/>
                <w:szCs w:val="20"/>
              </w:rPr>
            </w:pPr>
          </w:p>
        </w:tc>
        <w:tc>
          <w:tcPr>
            <w:tcW w:w="1699" w:type="pct"/>
            <w:hideMark/>
          </w:tcPr>
          <w:p w14:paraId="544AE13E"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Sustainability Officer</w:t>
            </w:r>
          </w:p>
        </w:tc>
        <w:tc>
          <w:tcPr>
            <w:tcW w:w="827" w:type="pct"/>
            <w:hideMark/>
          </w:tcPr>
          <w:p w14:paraId="57AFF17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78</w:t>
            </w:r>
          </w:p>
        </w:tc>
        <w:tc>
          <w:tcPr>
            <w:tcW w:w="850" w:type="pct"/>
            <w:hideMark/>
          </w:tcPr>
          <w:p w14:paraId="13CF82A8"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20.0%</w:t>
            </w:r>
          </w:p>
        </w:tc>
      </w:tr>
      <w:tr w:rsidR="00AA520A" w:rsidRPr="00120553" w14:paraId="6F939780"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556BA603" w14:textId="77777777" w:rsidR="00AA520A" w:rsidRPr="00120553" w:rsidRDefault="00AA520A" w:rsidP="007618DF">
            <w:pPr>
              <w:rPr>
                <w:rFonts w:eastAsia="Times New Roman" w:cs="Times New Roman"/>
                <w:szCs w:val="20"/>
              </w:rPr>
            </w:pPr>
          </w:p>
        </w:tc>
        <w:tc>
          <w:tcPr>
            <w:tcW w:w="1699" w:type="pct"/>
            <w:hideMark/>
          </w:tcPr>
          <w:p w14:paraId="1DCC96F6"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IT/Technology Manager</w:t>
            </w:r>
          </w:p>
        </w:tc>
        <w:tc>
          <w:tcPr>
            <w:tcW w:w="827" w:type="pct"/>
            <w:hideMark/>
          </w:tcPr>
          <w:p w14:paraId="4CC814FD"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59</w:t>
            </w:r>
          </w:p>
        </w:tc>
        <w:tc>
          <w:tcPr>
            <w:tcW w:w="850" w:type="pct"/>
            <w:hideMark/>
          </w:tcPr>
          <w:p w14:paraId="32D9FB89"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15.1%</w:t>
            </w:r>
          </w:p>
        </w:tc>
      </w:tr>
      <w:tr w:rsidR="00AA520A" w:rsidRPr="00120553" w14:paraId="7891D10A"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0C27F673" w14:textId="77777777" w:rsidR="00AA520A" w:rsidRPr="00120553" w:rsidRDefault="00AA520A" w:rsidP="007618DF">
            <w:pPr>
              <w:rPr>
                <w:rFonts w:eastAsia="Times New Roman" w:cs="Times New Roman"/>
                <w:szCs w:val="20"/>
              </w:rPr>
            </w:pPr>
          </w:p>
        </w:tc>
        <w:tc>
          <w:tcPr>
            <w:tcW w:w="1699" w:type="pct"/>
            <w:hideMark/>
          </w:tcPr>
          <w:p w14:paraId="74265172"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Other (e.g., Logistics)</w:t>
            </w:r>
          </w:p>
        </w:tc>
        <w:tc>
          <w:tcPr>
            <w:tcW w:w="827" w:type="pct"/>
            <w:hideMark/>
          </w:tcPr>
          <w:p w14:paraId="7D0F810A"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38</w:t>
            </w:r>
          </w:p>
        </w:tc>
        <w:tc>
          <w:tcPr>
            <w:tcW w:w="850" w:type="pct"/>
            <w:hideMark/>
          </w:tcPr>
          <w:p w14:paraId="56D65BEF"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9.8%</w:t>
            </w:r>
          </w:p>
        </w:tc>
      </w:tr>
      <w:tr w:rsidR="00AA520A" w:rsidRPr="00120553" w14:paraId="1F63DA9B"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0D0D5815" w14:textId="77777777" w:rsidR="00AA520A" w:rsidRPr="00120553" w:rsidRDefault="00AA520A" w:rsidP="007618DF">
            <w:pPr>
              <w:rPr>
                <w:rFonts w:eastAsia="Times New Roman" w:cs="Times New Roman"/>
                <w:szCs w:val="20"/>
              </w:rPr>
            </w:pPr>
            <w:r w:rsidRPr="00120553">
              <w:rPr>
                <w:rFonts w:eastAsia="Times New Roman" w:cs="Times New Roman"/>
                <w:szCs w:val="20"/>
              </w:rPr>
              <w:t>Years of Experience</w:t>
            </w:r>
          </w:p>
        </w:tc>
        <w:tc>
          <w:tcPr>
            <w:tcW w:w="1699" w:type="pct"/>
            <w:hideMark/>
          </w:tcPr>
          <w:p w14:paraId="53F8E363"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1–5 years</w:t>
            </w:r>
          </w:p>
        </w:tc>
        <w:tc>
          <w:tcPr>
            <w:tcW w:w="827" w:type="pct"/>
            <w:hideMark/>
          </w:tcPr>
          <w:p w14:paraId="0E382AEE"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78</w:t>
            </w:r>
          </w:p>
        </w:tc>
        <w:tc>
          <w:tcPr>
            <w:tcW w:w="850" w:type="pct"/>
            <w:hideMark/>
          </w:tcPr>
          <w:p w14:paraId="1BD39766"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20.0%</w:t>
            </w:r>
          </w:p>
        </w:tc>
      </w:tr>
      <w:tr w:rsidR="00AA520A" w:rsidRPr="00120553" w14:paraId="5DE31513"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54C628C6" w14:textId="77777777" w:rsidR="00AA520A" w:rsidRPr="00120553" w:rsidRDefault="00AA520A" w:rsidP="007618DF">
            <w:pPr>
              <w:rPr>
                <w:rFonts w:eastAsia="Times New Roman" w:cs="Times New Roman"/>
                <w:szCs w:val="20"/>
              </w:rPr>
            </w:pPr>
          </w:p>
        </w:tc>
        <w:tc>
          <w:tcPr>
            <w:tcW w:w="1699" w:type="pct"/>
            <w:hideMark/>
          </w:tcPr>
          <w:p w14:paraId="5117242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6–10 years</w:t>
            </w:r>
          </w:p>
        </w:tc>
        <w:tc>
          <w:tcPr>
            <w:tcW w:w="827" w:type="pct"/>
            <w:hideMark/>
          </w:tcPr>
          <w:p w14:paraId="7FD38991"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155</w:t>
            </w:r>
          </w:p>
        </w:tc>
        <w:tc>
          <w:tcPr>
            <w:tcW w:w="850" w:type="pct"/>
            <w:hideMark/>
          </w:tcPr>
          <w:p w14:paraId="71517ADB"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40.0%</w:t>
            </w:r>
          </w:p>
        </w:tc>
      </w:tr>
      <w:tr w:rsidR="00AA520A" w:rsidRPr="00120553" w14:paraId="5D53B605" w14:textId="77777777" w:rsidTr="00AA520A">
        <w:trPr>
          <w:trHeight w:val="278"/>
        </w:trPr>
        <w:tc>
          <w:tcPr>
            <w:cnfStyle w:val="001000000000" w:firstRow="0" w:lastRow="0" w:firstColumn="1" w:lastColumn="0" w:oddVBand="0" w:evenVBand="0" w:oddHBand="0" w:evenHBand="0" w:firstRowFirstColumn="0" w:firstRowLastColumn="0" w:lastRowFirstColumn="0" w:lastRowLastColumn="0"/>
            <w:tcW w:w="1623" w:type="pct"/>
            <w:hideMark/>
          </w:tcPr>
          <w:p w14:paraId="6BAC5AEF" w14:textId="77777777" w:rsidR="00AA520A" w:rsidRPr="00120553" w:rsidRDefault="00AA520A" w:rsidP="007618DF">
            <w:pPr>
              <w:rPr>
                <w:rFonts w:eastAsia="Times New Roman" w:cs="Times New Roman"/>
                <w:szCs w:val="20"/>
              </w:rPr>
            </w:pPr>
          </w:p>
        </w:tc>
        <w:tc>
          <w:tcPr>
            <w:tcW w:w="1699" w:type="pct"/>
            <w:hideMark/>
          </w:tcPr>
          <w:p w14:paraId="4E296548"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11–15 years</w:t>
            </w:r>
          </w:p>
        </w:tc>
        <w:tc>
          <w:tcPr>
            <w:tcW w:w="827" w:type="pct"/>
            <w:hideMark/>
          </w:tcPr>
          <w:p w14:paraId="251F48B6"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117</w:t>
            </w:r>
          </w:p>
        </w:tc>
        <w:tc>
          <w:tcPr>
            <w:tcW w:w="850" w:type="pct"/>
            <w:hideMark/>
          </w:tcPr>
          <w:p w14:paraId="3C352185"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30.0%</w:t>
            </w:r>
          </w:p>
        </w:tc>
      </w:tr>
      <w:tr w:rsidR="00AA520A" w:rsidRPr="00120553" w14:paraId="3F7879D3" w14:textId="77777777" w:rsidTr="00AA52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3" w:type="pct"/>
            <w:tcBorders>
              <w:bottom w:val="single" w:sz="12" w:space="0" w:color="auto"/>
            </w:tcBorders>
            <w:hideMark/>
          </w:tcPr>
          <w:p w14:paraId="6F7ABB53" w14:textId="77777777" w:rsidR="00AA520A" w:rsidRPr="00120553" w:rsidRDefault="00AA520A" w:rsidP="007618DF">
            <w:pPr>
              <w:rPr>
                <w:rFonts w:eastAsia="Times New Roman" w:cs="Times New Roman"/>
                <w:szCs w:val="20"/>
              </w:rPr>
            </w:pPr>
          </w:p>
        </w:tc>
        <w:tc>
          <w:tcPr>
            <w:tcW w:w="1699" w:type="pct"/>
            <w:tcBorders>
              <w:bottom w:val="single" w:sz="12" w:space="0" w:color="auto"/>
            </w:tcBorders>
            <w:hideMark/>
          </w:tcPr>
          <w:p w14:paraId="5271535E"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16+ years</w:t>
            </w:r>
          </w:p>
        </w:tc>
        <w:tc>
          <w:tcPr>
            <w:tcW w:w="827" w:type="pct"/>
            <w:tcBorders>
              <w:bottom w:val="single" w:sz="12" w:space="0" w:color="auto"/>
            </w:tcBorders>
            <w:hideMark/>
          </w:tcPr>
          <w:p w14:paraId="60980C7F"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39</w:t>
            </w:r>
          </w:p>
        </w:tc>
        <w:tc>
          <w:tcPr>
            <w:tcW w:w="850" w:type="pct"/>
            <w:tcBorders>
              <w:bottom w:val="single" w:sz="12" w:space="0" w:color="auto"/>
            </w:tcBorders>
            <w:hideMark/>
          </w:tcPr>
          <w:p w14:paraId="44244BB0"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10.0%</w:t>
            </w:r>
          </w:p>
        </w:tc>
      </w:tr>
    </w:tbl>
    <w:p w14:paraId="0D22D07E" w14:textId="77777777" w:rsidR="00790B43" w:rsidRDefault="00790B43" w:rsidP="0081049C"/>
    <w:p w14:paraId="1338E6AD" w14:textId="77777777" w:rsidR="00424237" w:rsidRDefault="00AA520A" w:rsidP="00B071D6">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Table 1 presents the demographic profile of 389 respondents and the associated relevant characteristics </w:t>
      </w:r>
      <w:r w:rsidR="00B071D6">
        <w:rPr>
          <w:rFonts w:eastAsia="Aptos" w:cs="Times New Roman"/>
          <w:kern w:val="2"/>
          <w:szCs w:val="20"/>
          <w14:ligatures w14:val="standardContextual"/>
        </w:rPr>
        <w:t>of</w:t>
      </w:r>
      <w:r w:rsidRPr="00120553">
        <w:rPr>
          <w:rFonts w:eastAsia="Aptos" w:cs="Times New Roman"/>
          <w:kern w:val="2"/>
          <w:szCs w:val="20"/>
          <w14:ligatures w14:val="standardContextual"/>
        </w:rPr>
        <w:t xml:space="preserve"> the study. Most of the respondents were males</w:t>
      </w:r>
      <w:r w:rsidR="00B071D6">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accounting for 70.0% which corresponds to the prevailing situation in the managerial position of Bangladesh’s RMG sector, while 28.0% were females</w:t>
      </w:r>
      <w:r w:rsidR="00B071D6">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and 2.0% other/preferred not to state. Most respondents were mid-career professionals.</w:t>
      </w:r>
    </w:p>
    <w:p w14:paraId="67369981" w14:textId="77777777" w:rsidR="00424237" w:rsidRDefault="00424237" w:rsidP="00B071D6">
      <w:pPr>
        <w:rPr>
          <w:rFonts w:eastAsia="Aptos" w:cs="Times New Roman"/>
          <w:kern w:val="2"/>
          <w:szCs w:val="20"/>
          <w14:ligatures w14:val="standardContextual"/>
        </w:rPr>
      </w:pPr>
    </w:p>
    <w:p w14:paraId="3EB5E896" w14:textId="77777777" w:rsidR="00424237" w:rsidRDefault="00AA520A" w:rsidP="00B071D6">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 The age distribution in years was as follows: 40.0% 31–40 and 35.1% 41–50</w:t>
      </w:r>
      <w:r w:rsidR="00B071D6">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which shows that the respondents were skilled decision-makers in AI and sustainability. The educational composition was also of a master’s degree holder for 54.9%, and </w:t>
      </w:r>
      <w:r w:rsidR="00B071D6">
        <w:rPr>
          <w:rFonts w:eastAsia="Aptos" w:cs="Times New Roman"/>
          <w:kern w:val="2"/>
          <w:szCs w:val="20"/>
          <w14:ligatures w14:val="standardContextual"/>
        </w:rPr>
        <w:t xml:space="preserve">a </w:t>
      </w:r>
      <w:r w:rsidRPr="00120553">
        <w:rPr>
          <w:rFonts w:eastAsia="Aptos" w:cs="Times New Roman"/>
          <w:kern w:val="2"/>
          <w:szCs w:val="20"/>
          <w14:ligatures w14:val="standardContextual"/>
        </w:rPr>
        <w:t xml:space="preserve">bachelor’s </w:t>
      </w:r>
      <w:r w:rsidR="00B071D6">
        <w:rPr>
          <w:rFonts w:eastAsia="Aptos" w:cs="Times New Roman"/>
          <w:kern w:val="2"/>
          <w:szCs w:val="20"/>
          <w14:ligatures w14:val="standardContextual"/>
        </w:rPr>
        <w:t xml:space="preserve">degree </w:t>
      </w:r>
      <w:r w:rsidRPr="00120553">
        <w:rPr>
          <w:rFonts w:eastAsia="Aptos" w:cs="Times New Roman"/>
          <w:kern w:val="2"/>
          <w:szCs w:val="20"/>
          <w14:ligatures w14:val="standardContextual"/>
        </w:rPr>
        <w:t xml:space="preserve">for 40.0%, suggesting </w:t>
      </w:r>
      <w:r w:rsidR="00A32B07">
        <w:rPr>
          <w:rFonts w:eastAsia="Aptos" w:cs="Times New Roman"/>
          <w:kern w:val="2"/>
          <w:szCs w:val="20"/>
          <w14:ligatures w14:val="standardContextual"/>
        </w:rPr>
        <w:t>high</w:t>
      </w:r>
      <w:r w:rsidRPr="00120553">
        <w:rPr>
          <w:rFonts w:eastAsia="Aptos" w:cs="Times New Roman"/>
          <w:kern w:val="2"/>
          <w:szCs w:val="20"/>
          <w14:ligatures w14:val="standardContextual"/>
        </w:rPr>
        <w:t xml:space="preserve"> technical </w:t>
      </w:r>
      <w:r w:rsidR="00B071D6">
        <w:rPr>
          <w:rFonts w:eastAsia="Aptos" w:cs="Times New Roman"/>
          <w:kern w:val="2"/>
          <w:szCs w:val="20"/>
          <w14:ligatures w14:val="standardContextual"/>
        </w:rPr>
        <w:t>know-how</w:t>
      </w:r>
      <w:r w:rsidRPr="00120553">
        <w:rPr>
          <w:rFonts w:eastAsia="Aptos" w:cs="Times New Roman"/>
          <w:kern w:val="2"/>
          <w:szCs w:val="20"/>
          <w14:ligatures w14:val="standardContextual"/>
        </w:rPr>
        <w:t>.</w:t>
      </w:r>
    </w:p>
    <w:p w14:paraId="5582660F" w14:textId="77777777" w:rsidR="00424237" w:rsidRDefault="00424237" w:rsidP="00B071D6">
      <w:pPr>
        <w:rPr>
          <w:rFonts w:eastAsia="Aptos" w:cs="Times New Roman"/>
          <w:kern w:val="2"/>
          <w:szCs w:val="20"/>
          <w14:ligatures w14:val="standardContextual"/>
        </w:rPr>
      </w:pPr>
    </w:p>
    <w:p w14:paraId="61ACA601" w14:textId="63A895A9" w:rsidR="00AA520A" w:rsidRDefault="00AA520A" w:rsidP="00B071D6">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 The job categories were Supply Chain Managers 30.0%, Operations Managers 25.1%, and Sustainability Officers 20.0%, which </w:t>
      </w:r>
      <w:r w:rsidR="00B071D6">
        <w:rPr>
          <w:rFonts w:eastAsia="Aptos" w:cs="Times New Roman"/>
          <w:kern w:val="2"/>
          <w:szCs w:val="20"/>
          <w14:ligatures w14:val="standardContextual"/>
        </w:rPr>
        <w:t>represent</w:t>
      </w:r>
      <w:r w:rsidRPr="00120553">
        <w:rPr>
          <w:rFonts w:eastAsia="Aptos" w:cs="Times New Roman"/>
          <w:kern w:val="2"/>
          <w:szCs w:val="20"/>
          <w14:ligatures w14:val="standardContextual"/>
        </w:rPr>
        <w:t xml:space="preserve"> the respondents from positions that directly deal with the integration of AI in environmental practices. More than 70% had over 6 years’ experience, which qualified them to make </w:t>
      </w:r>
      <w:r w:rsidR="00B071D6">
        <w:rPr>
          <w:rFonts w:eastAsia="Aptos" w:cs="Times New Roman"/>
          <w:kern w:val="2"/>
          <w:szCs w:val="20"/>
          <w14:ligatures w14:val="standardContextual"/>
        </w:rPr>
        <w:t>judgments</w:t>
      </w:r>
      <w:r w:rsidRPr="00120553">
        <w:rPr>
          <w:rFonts w:eastAsia="Aptos" w:cs="Times New Roman"/>
          <w:kern w:val="2"/>
          <w:szCs w:val="20"/>
          <w14:ligatures w14:val="standardContextual"/>
        </w:rPr>
        <w:t xml:space="preserve"> on supply chain agility and technology readiness. This demographic profile is appropriate for the focus of the study</w:t>
      </w:r>
      <w:r w:rsidR="00B071D6">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which is </w:t>
      </w:r>
      <w:r w:rsidR="00B071D6">
        <w:rPr>
          <w:rFonts w:eastAsia="Aptos" w:cs="Times New Roman"/>
          <w:kern w:val="2"/>
          <w:szCs w:val="20"/>
          <w14:ligatures w14:val="standardContextual"/>
        </w:rPr>
        <w:t>AI-powered</w:t>
      </w:r>
      <w:r w:rsidRPr="00120553">
        <w:rPr>
          <w:rFonts w:eastAsia="Aptos" w:cs="Times New Roman"/>
          <w:kern w:val="2"/>
          <w:szCs w:val="20"/>
          <w14:ligatures w14:val="standardContextual"/>
        </w:rPr>
        <w:t xml:space="preserve"> sustainability in the RMG sector.</w:t>
      </w:r>
    </w:p>
    <w:p w14:paraId="7E1BF5E6" w14:textId="77777777" w:rsidR="00AA520A" w:rsidRPr="00120553" w:rsidRDefault="00AA520A" w:rsidP="00B071D6">
      <w:pPr>
        <w:rPr>
          <w:rFonts w:eastAsia="Aptos" w:cs="Times New Roman"/>
          <w:kern w:val="2"/>
          <w:szCs w:val="20"/>
          <w14:ligatures w14:val="standardContextual"/>
        </w:rPr>
      </w:pPr>
    </w:p>
    <w:p w14:paraId="3321CF37" w14:textId="3E680623" w:rsidR="00424237" w:rsidRDefault="00AA520A" w:rsidP="00AA520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Table 2 presents reliability research, encompassing a comprehensive investigation of Cronbach's alpha coefficients. AI-Driven Supply Chain Integration (AI-SCI) demonstrates strong internal consistency (Cronbach’s α = 0.825; composite reliability </w:t>
      </w:r>
      <w:proofErr w:type="spellStart"/>
      <w:r w:rsidRPr="00120553">
        <w:rPr>
          <w:rFonts w:eastAsia="Aptos" w:cs="Times New Roman"/>
          <w:kern w:val="2"/>
          <w:szCs w:val="20"/>
          <w14:ligatures w14:val="standardContextual"/>
        </w:rPr>
        <w:t>rho_c</w:t>
      </w:r>
      <w:proofErr w:type="spellEnd"/>
      <w:r w:rsidRPr="00120553">
        <w:rPr>
          <w:rFonts w:eastAsia="Aptos" w:cs="Times New Roman"/>
          <w:kern w:val="2"/>
          <w:szCs w:val="20"/>
          <w14:ligatures w14:val="standardContextual"/>
        </w:rPr>
        <w:t xml:space="preserve"> = 0.872) and acceptable convergent validity (AVE = 0.581), though the outer loading of AI-SCI_5 (0.558) suggests potential refinement</w:t>
      </w:r>
      <w:r w:rsidR="00424237">
        <w:rPr>
          <w:rFonts w:eastAsia="Aptos" w:cs="Times New Roman"/>
          <w:kern w:val="2"/>
          <w:szCs w:val="20"/>
          <w14:ligatures w14:val="standardContextual"/>
        </w:rPr>
        <w:t xml:space="preserve"> [44]</w:t>
      </w:r>
      <w:r w:rsidRPr="00120553">
        <w:rPr>
          <w:rFonts w:eastAsia="Aptos" w:cs="Times New Roman"/>
          <w:kern w:val="2"/>
          <w:szCs w:val="20"/>
          <w14:ligatures w14:val="standardContextual"/>
        </w:rPr>
        <w:t>.</w:t>
      </w:r>
    </w:p>
    <w:p w14:paraId="1E7BD906" w14:textId="77777777" w:rsidR="00424237" w:rsidRDefault="00424237" w:rsidP="00AA520A">
      <w:pPr>
        <w:rPr>
          <w:rFonts w:eastAsia="Aptos" w:cs="Times New Roman"/>
          <w:kern w:val="2"/>
          <w:szCs w:val="20"/>
          <w14:ligatures w14:val="standardContextual"/>
        </w:rPr>
      </w:pPr>
    </w:p>
    <w:p w14:paraId="6599302E" w14:textId="64F20505" w:rsidR="00424237" w:rsidRDefault="00AA520A" w:rsidP="00AA520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 Environmental Sustainability (ES) shows robust reliability (α = 0.828; </w:t>
      </w:r>
      <w:proofErr w:type="spellStart"/>
      <w:r w:rsidRPr="00120553">
        <w:rPr>
          <w:rFonts w:eastAsia="Aptos" w:cs="Times New Roman"/>
          <w:kern w:val="2"/>
          <w:szCs w:val="20"/>
          <w14:ligatures w14:val="standardContextual"/>
        </w:rPr>
        <w:t>rho_c</w:t>
      </w:r>
      <w:proofErr w:type="spellEnd"/>
      <w:r w:rsidRPr="00120553">
        <w:rPr>
          <w:rFonts w:eastAsia="Aptos" w:cs="Times New Roman"/>
          <w:kern w:val="2"/>
          <w:szCs w:val="20"/>
          <w14:ligatures w14:val="standardContextual"/>
        </w:rPr>
        <w:t xml:space="preserve"> = 0.879) and convergent validity (AVE = 0.599), but ES_3’s low loading (0.537) indicates measurement limitations, aligning with critiques by Martinez (2023). Supply Chain Agility (SCA) meets reliability standards (α = 0.795; </w:t>
      </w:r>
      <w:proofErr w:type="spellStart"/>
      <w:r w:rsidRPr="00120553">
        <w:rPr>
          <w:rFonts w:eastAsia="Aptos" w:cs="Times New Roman"/>
          <w:kern w:val="2"/>
          <w:szCs w:val="20"/>
          <w14:ligatures w14:val="standardContextual"/>
        </w:rPr>
        <w:t>rho_c</w:t>
      </w:r>
      <w:proofErr w:type="spellEnd"/>
      <w:r w:rsidRPr="00120553">
        <w:rPr>
          <w:rFonts w:eastAsia="Aptos" w:cs="Times New Roman"/>
          <w:kern w:val="2"/>
          <w:szCs w:val="20"/>
          <w14:ligatures w14:val="standardContextual"/>
        </w:rPr>
        <w:t xml:space="preserve"> = 0.863) with strong convergent validity (AVE = 0.614), despite SCA_3’s moderate loading (0.672), reflecting challenges in operationalizing agility </w:t>
      </w:r>
      <w:r w:rsidR="00424237">
        <w:rPr>
          <w:rFonts w:eastAsia="Aptos" w:cs="Times New Roman"/>
          <w:kern w:val="2"/>
          <w:szCs w:val="20"/>
          <w14:ligatures w14:val="standardContextual"/>
        </w:rPr>
        <w:t>[41]</w:t>
      </w:r>
      <w:r w:rsidRPr="00120553">
        <w:rPr>
          <w:rFonts w:eastAsia="Aptos" w:cs="Times New Roman"/>
          <w:kern w:val="2"/>
          <w:szCs w:val="20"/>
          <w14:ligatures w14:val="standardContextual"/>
        </w:rPr>
        <w:t xml:space="preserve">. Technological Readiness (TR) emerges as the most robust construct (α = 0.858; </w:t>
      </w:r>
      <w:proofErr w:type="spellStart"/>
      <w:r w:rsidRPr="00120553">
        <w:rPr>
          <w:rFonts w:eastAsia="Aptos" w:cs="Times New Roman"/>
          <w:kern w:val="2"/>
          <w:szCs w:val="20"/>
          <w14:ligatures w14:val="standardContextual"/>
        </w:rPr>
        <w:t>rho_c</w:t>
      </w:r>
      <w:proofErr w:type="spellEnd"/>
      <w:r w:rsidRPr="00120553">
        <w:rPr>
          <w:rFonts w:eastAsia="Aptos" w:cs="Times New Roman"/>
          <w:kern w:val="2"/>
          <w:szCs w:val="20"/>
          <w14:ligatures w14:val="standardContextual"/>
        </w:rPr>
        <w:t xml:space="preserve"> = 0.905; AVE = 0.705), with high outer loadings (0.730–0.887), underscoring its pivotal mediating role in AI adoption </w:t>
      </w:r>
      <w:r w:rsidR="00424237">
        <w:rPr>
          <w:rFonts w:eastAsia="Aptos" w:cs="Times New Roman"/>
          <w:kern w:val="2"/>
          <w:szCs w:val="20"/>
          <w14:ligatures w14:val="standardContextual"/>
        </w:rPr>
        <w:t>[45]</w:t>
      </w:r>
      <w:r w:rsidRPr="00120553">
        <w:rPr>
          <w:rFonts w:eastAsia="Aptos" w:cs="Times New Roman"/>
          <w:kern w:val="2"/>
          <w:szCs w:val="20"/>
          <w14:ligatures w14:val="standardContextual"/>
        </w:rPr>
        <w:t xml:space="preserve">. </w:t>
      </w:r>
    </w:p>
    <w:p w14:paraId="0F85EE63" w14:textId="77777777" w:rsidR="00424237" w:rsidRDefault="00424237" w:rsidP="00AA520A">
      <w:pPr>
        <w:rPr>
          <w:rFonts w:eastAsia="Aptos" w:cs="Times New Roman"/>
          <w:kern w:val="2"/>
          <w:szCs w:val="20"/>
          <w14:ligatures w14:val="standardContextual"/>
        </w:rPr>
      </w:pPr>
    </w:p>
    <w:p w14:paraId="2354A939" w14:textId="77777777" w:rsidR="00424237" w:rsidRDefault="00AA520A" w:rsidP="00AA520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While all constructs satisfy reliability (α &gt; 0.70) and convergent validity (AVE &gt; 0.50) criteria (Fornell &amp; Larcker, 1981), the weaker loadings of ES_3 and AI-SCI_5 highlight opportunities for scale improvement. These results validate the theoretical model, particularly the mediating roles of TR and SCA in linking AI-SCI to ES, offering empirical support for advancing sustainable practices in Bangladesh’s RMG sector. Table 3 illustrates the association among the variables. </w:t>
      </w:r>
    </w:p>
    <w:p w14:paraId="736FF7DE" w14:textId="77777777" w:rsidR="00424237" w:rsidRDefault="00424237" w:rsidP="00AA520A">
      <w:pPr>
        <w:rPr>
          <w:rFonts w:eastAsia="Aptos" w:cs="Times New Roman"/>
          <w:kern w:val="2"/>
          <w:szCs w:val="20"/>
          <w14:ligatures w14:val="standardContextual"/>
        </w:rPr>
      </w:pPr>
    </w:p>
    <w:p w14:paraId="196B40FC" w14:textId="01ECC5E1" w:rsidR="00AA520A" w:rsidRPr="00120553" w:rsidRDefault="00AA520A" w:rsidP="00AA520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Table 3 assesses the convergent validity of the variables that have not been thoroughly investigated. The discriminant validity of the candidate variables, assessed using the Fornell-Larcker Criterion and HTMT ratio, is presented in Table </w:t>
      </w:r>
      <w:r w:rsidR="00856768">
        <w:rPr>
          <w:rFonts w:eastAsia="Aptos" w:cs="Times New Roman"/>
          <w:kern w:val="2"/>
          <w:szCs w:val="20"/>
          <w14:ligatures w14:val="standardContextual"/>
        </w:rPr>
        <w:t>3</w:t>
      </w:r>
      <w:r w:rsidRPr="00120553">
        <w:rPr>
          <w:rFonts w:eastAsia="Aptos" w:cs="Times New Roman"/>
          <w:kern w:val="2"/>
          <w:szCs w:val="20"/>
          <w14:ligatures w14:val="standardContextual"/>
        </w:rPr>
        <w:t xml:space="preserve"> and </w:t>
      </w:r>
      <w:r w:rsidR="00856768">
        <w:rPr>
          <w:rFonts w:eastAsia="Aptos" w:cs="Times New Roman"/>
          <w:kern w:val="2"/>
          <w:szCs w:val="20"/>
          <w14:ligatures w14:val="standardContextual"/>
        </w:rPr>
        <w:t>4</w:t>
      </w:r>
      <w:r w:rsidRPr="00120553">
        <w:rPr>
          <w:rFonts w:eastAsia="Aptos" w:cs="Times New Roman"/>
          <w:kern w:val="2"/>
          <w:szCs w:val="20"/>
          <w14:ligatures w14:val="standardContextual"/>
        </w:rPr>
        <w:t>.  Hair et al. (2019) and Henseler et al. (2015) assert that the HTMT ratio threshold should ideally be below 0.85 in a conservative context, while values over 0.90 may also be deemed appropriate.</w:t>
      </w:r>
    </w:p>
    <w:p w14:paraId="6CA490DD" w14:textId="77777777" w:rsidR="00856768" w:rsidRDefault="00856768" w:rsidP="00856768">
      <w:pPr>
        <w:rPr>
          <w:b/>
          <w:bCs/>
        </w:rPr>
      </w:pPr>
    </w:p>
    <w:p w14:paraId="02061554" w14:textId="40C4BD84" w:rsidR="00AA520A" w:rsidRDefault="00856768" w:rsidP="00856768">
      <w:pPr>
        <w:jc w:val="center"/>
      </w:pPr>
      <w:r w:rsidRPr="00120553">
        <w:rPr>
          <w:rFonts w:eastAsia="Aptos" w:cs="Times New Roman"/>
          <w:noProof/>
          <w:kern w:val="2"/>
          <w:szCs w:val="20"/>
          <w14:ligatures w14:val="standardContextual"/>
        </w:rPr>
        <w:lastRenderedPageBreak/>
        <w:drawing>
          <wp:anchor distT="0" distB="0" distL="114300" distR="114300" simplePos="0" relativeHeight="251663360" behindDoc="0" locked="0" layoutInCell="1" allowOverlap="1" wp14:anchorId="6B1058ED" wp14:editId="6D305DA7">
            <wp:simplePos x="0" y="0"/>
            <wp:positionH relativeFrom="margin">
              <wp:align>center</wp:align>
            </wp:positionH>
            <wp:positionV relativeFrom="paragraph">
              <wp:posOffset>164465</wp:posOffset>
            </wp:positionV>
            <wp:extent cx="5001895" cy="2664460"/>
            <wp:effectExtent l="0" t="0" r="8255" b="2540"/>
            <wp:wrapTopAndBottom/>
            <wp:docPr id="151395795"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diagram of a network&#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1895" cy="2664460"/>
                    </a:xfrm>
                    <a:prstGeom prst="rect">
                      <a:avLst/>
                    </a:prstGeom>
                    <a:noFill/>
                  </pic:spPr>
                </pic:pic>
              </a:graphicData>
            </a:graphic>
            <wp14:sizeRelH relativeFrom="margin">
              <wp14:pctWidth>0</wp14:pctWidth>
            </wp14:sizeRelH>
            <wp14:sizeRelV relativeFrom="margin">
              <wp14:pctHeight>0</wp14:pctHeight>
            </wp14:sizeRelV>
          </wp:anchor>
        </w:drawing>
      </w:r>
    </w:p>
    <w:p w14:paraId="7B76A0D1" w14:textId="77777777" w:rsidR="00856768" w:rsidRDefault="00856768" w:rsidP="00856768">
      <w:pPr>
        <w:jc w:val="center"/>
      </w:pPr>
    </w:p>
    <w:p w14:paraId="16A404C1" w14:textId="0FAD9BA7" w:rsidR="00856768" w:rsidRPr="00AA520A" w:rsidRDefault="00856768" w:rsidP="00856768">
      <w:pPr>
        <w:jc w:val="center"/>
      </w:pPr>
      <w:r w:rsidRPr="00AA520A">
        <w:rPr>
          <w:b/>
          <w:bCs/>
        </w:rPr>
        <w:t xml:space="preserve">Figure </w:t>
      </w:r>
      <w:r w:rsidR="0090192B">
        <w:rPr>
          <w:b/>
          <w:bCs/>
        </w:rPr>
        <w:t>2:</w:t>
      </w:r>
      <w:r w:rsidRPr="00AA520A">
        <w:t xml:space="preserve"> </w:t>
      </w:r>
      <w:r>
        <w:t>M</w:t>
      </w:r>
      <w:r w:rsidRPr="00AA520A">
        <w:t>easurement model</w:t>
      </w:r>
      <w:r>
        <w:t xml:space="preserve"> of the selected variables</w:t>
      </w:r>
    </w:p>
    <w:p w14:paraId="12E9559A" w14:textId="77777777" w:rsidR="00A32B07" w:rsidRPr="00AA520A" w:rsidRDefault="00A32B07" w:rsidP="00AA520A"/>
    <w:p w14:paraId="403BBBB0" w14:textId="315CFF66" w:rsidR="00AA520A" w:rsidRPr="00AA520A" w:rsidRDefault="00AA520A" w:rsidP="00CC01FB">
      <w:pPr>
        <w:jc w:val="center"/>
      </w:pPr>
      <w:r w:rsidRPr="00AA520A">
        <w:rPr>
          <w:b/>
          <w:bCs/>
        </w:rPr>
        <w:t>Table 2</w:t>
      </w:r>
      <w:r w:rsidR="0090192B">
        <w:rPr>
          <w:b/>
          <w:bCs/>
        </w:rPr>
        <w:t>:</w:t>
      </w:r>
      <w:r>
        <w:t xml:space="preserve"> </w:t>
      </w:r>
      <w:r w:rsidRPr="00AA520A">
        <w:t>Measurement model analysis (reliability/validity metrics)</w:t>
      </w:r>
    </w:p>
    <w:tbl>
      <w:tblPr>
        <w:tblStyle w:val="PlainTable4"/>
        <w:tblW w:w="5000" w:type="pct"/>
        <w:tblLayout w:type="fixed"/>
        <w:tblLook w:val="04A0" w:firstRow="1" w:lastRow="0" w:firstColumn="1" w:lastColumn="0" w:noHBand="0" w:noVBand="1"/>
      </w:tblPr>
      <w:tblGrid>
        <w:gridCol w:w="3278"/>
        <w:gridCol w:w="1127"/>
        <w:gridCol w:w="1267"/>
        <w:gridCol w:w="1351"/>
        <w:gridCol w:w="1472"/>
        <w:gridCol w:w="1251"/>
      </w:tblGrid>
      <w:tr w:rsidR="00AA520A" w:rsidRPr="00120553" w14:paraId="43355611" w14:textId="77777777" w:rsidTr="00AA5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tcBorders>
              <w:top w:val="single" w:sz="12" w:space="0" w:color="auto"/>
              <w:bottom w:val="single" w:sz="8" w:space="0" w:color="auto"/>
            </w:tcBorders>
            <w:hideMark/>
          </w:tcPr>
          <w:p w14:paraId="21BB4B95" w14:textId="77777777" w:rsidR="00AA520A" w:rsidRDefault="00AA520A" w:rsidP="007618DF">
            <w:pPr>
              <w:rPr>
                <w:rFonts w:eastAsia="Times New Roman" w:cs="Times New Roman"/>
                <w:szCs w:val="20"/>
              </w:rPr>
            </w:pPr>
          </w:p>
          <w:p w14:paraId="294F621B" w14:textId="77777777" w:rsidR="00AA520A" w:rsidRPr="003D655E" w:rsidRDefault="00AA520A" w:rsidP="007618DF">
            <w:pPr>
              <w:rPr>
                <w:rFonts w:eastAsia="Times New Roman" w:cs="Times New Roman"/>
                <w:szCs w:val="20"/>
              </w:rPr>
            </w:pPr>
            <w:r w:rsidRPr="003D655E">
              <w:rPr>
                <w:rFonts w:eastAsia="Times New Roman" w:cs="Times New Roman"/>
                <w:szCs w:val="20"/>
              </w:rPr>
              <w:t xml:space="preserve">Contract </w:t>
            </w:r>
          </w:p>
        </w:tc>
        <w:tc>
          <w:tcPr>
            <w:tcW w:w="578" w:type="pct"/>
            <w:tcBorders>
              <w:top w:val="single" w:sz="12" w:space="0" w:color="auto"/>
              <w:bottom w:val="single" w:sz="8" w:space="0" w:color="auto"/>
            </w:tcBorders>
            <w:hideMark/>
          </w:tcPr>
          <w:p w14:paraId="65736A84"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 xml:space="preserve">Outer loading </w:t>
            </w:r>
          </w:p>
        </w:tc>
        <w:tc>
          <w:tcPr>
            <w:tcW w:w="650" w:type="pct"/>
            <w:tcBorders>
              <w:top w:val="single" w:sz="12" w:space="0" w:color="auto"/>
              <w:bottom w:val="single" w:sz="8" w:space="0" w:color="auto"/>
            </w:tcBorders>
            <w:hideMark/>
          </w:tcPr>
          <w:p w14:paraId="17CA3973"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 xml:space="preserve">Cronbach's alpha </w:t>
            </w:r>
          </w:p>
        </w:tc>
        <w:tc>
          <w:tcPr>
            <w:tcW w:w="693" w:type="pct"/>
            <w:tcBorders>
              <w:top w:val="single" w:sz="12" w:space="0" w:color="auto"/>
              <w:bottom w:val="single" w:sz="8" w:space="0" w:color="auto"/>
            </w:tcBorders>
          </w:tcPr>
          <w:p w14:paraId="440AAF0B"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Composite reliability (</w:t>
            </w:r>
            <w:proofErr w:type="spellStart"/>
            <w:r w:rsidRPr="00120553">
              <w:rPr>
                <w:rFonts w:eastAsia="Times New Roman" w:cs="Times New Roman"/>
                <w:szCs w:val="20"/>
              </w:rPr>
              <w:t>rho_a</w:t>
            </w:r>
            <w:proofErr w:type="spellEnd"/>
            <w:r w:rsidRPr="00120553">
              <w:rPr>
                <w:rFonts w:eastAsia="Times New Roman" w:cs="Times New Roman"/>
                <w:szCs w:val="20"/>
              </w:rPr>
              <w:t xml:space="preserve">) </w:t>
            </w:r>
          </w:p>
        </w:tc>
        <w:tc>
          <w:tcPr>
            <w:tcW w:w="755" w:type="pct"/>
            <w:tcBorders>
              <w:top w:val="single" w:sz="12" w:space="0" w:color="auto"/>
              <w:bottom w:val="single" w:sz="8" w:space="0" w:color="auto"/>
            </w:tcBorders>
            <w:hideMark/>
          </w:tcPr>
          <w:p w14:paraId="68EA10A9"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Composite reliability (</w:t>
            </w:r>
            <w:proofErr w:type="spellStart"/>
            <w:r w:rsidRPr="00120553">
              <w:rPr>
                <w:rFonts w:eastAsia="Times New Roman" w:cs="Times New Roman"/>
                <w:szCs w:val="20"/>
              </w:rPr>
              <w:t>rho_c</w:t>
            </w:r>
            <w:proofErr w:type="spellEnd"/>
            <w:r w:rsidRPr="00120553">
              <w:rPr>
                <w:rFonts w:eastAsia="Times New Roman" w:cs="Times New Roman"/>
                <w:szCs w:val="20"/>
              </w:rPr>
              <w:t xml:space="preserve">) </w:t>
            </w:r>
          </w:p>
        </w:tc>
        <w:tc>
          <w:tcPr>
            <w:tcW w:w="642" w:type="pct"/>
            <w:tcBorders>
              <w:top w:val="single" w:sz="12" w:space="0" w:color="auto"/>
              <w:bottom w:val="single" w:sz="8" w:space="0" w:color="auto"/>
            </w:tcBorders>
            <w:hideMark/>
          </w:tcPr>
          <w:p w14:paraId="768E1129"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 xml:space="preserve">Average variance extracted (AVE) </w:t>
            </w:r>
          </w:p>
        </w:tc>
      </w:tr>
      <w:tr w:rsidR="00AA520A" w:rsidRPr="00120553" w14:paraId="4BD80123" w14:textId="77777777" w:rsidTr="00AA520A">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681" w:type="pct"/>
            <w:tcBorders>
              <w:top w:val="single" w:sz="8" w:space="0" w:color="auto"/>
            </w:tcBorders>
          </w:tcPr>
          <w:p w14:paraId="7033B3E6"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AI-Driven Supply Chain Integration (</w:t>
            </w:r>
            <w:r w:rsidRPr="00120553">
              <w:rPr>
                <w:rFonts w:eastAsia="Times New Roman" w:cs="Times New Roman"/>
                <w:szCs w:val="20"/>
                <w:shd w:val="clear" w:color="auto" w:fill="FFFFFF"/>
              </w:rPr>
              <w:t>Wang et al., 2023; Khan &amp; Islam, 2023)</w:t>
            </w:r>
          </w:p>
          <w:p w14:paraId="0A8963B6" w14:textId="77777777" w:rsidR="00AA520A" w:rsidRPr="00120553" w:rsidRDefault="00AA520A" w:rsidP="007618DF">
            <w:pPr>
              <w:rPr>
                <w:rFonts w:eastAsia="Times New Roman" w:cs="Times New Roman"/>
                <w:szCs w:val="20"/>
              </w:rPr>
            </w:pPr>
          </w:p>
        </w:tc>
        <w:tc>
          <w:tcPr>
            <w:tcW w:w="578" w:type="pct"/>
            <w:tcBorders>
              <w:top w:val="single" w:sz="8" w:space="0" w:color="auto"/>
            </w:tcBorders>
          </w:tcPr>
          <w:p w14:paraId="53C2F8F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p>
        </w:tc>
        <w:tc>
          <w:tcPr>
            <w:tcW w:w="650" w:type="pct"/>
            <w:tcBorders>
              <w:top w:val="single" w:sz="8" w:space="0" w:color="auto"/>
            </w:tcBorders>
          </w:tcPr>
          <w:p w14:paraId="79D6BA67"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0.825 </w:t>
            </w:r>
          </w:p>
        </w:tc>
        <w:tc>
          <w:tcPr>
            <w:tcW w:w="693" w:type="pct"/>
            <w:tcBorders>
              <w:top w:val="single" w:sz="8" w:space="0" w:color="auto"/>
            </w:tcBorders>
          </w:tcPr>
          <w:p w14:paraId="3DB9FFF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0.856 </w:t>
            </w:r>
          </w:p>
        </w:tc>
        <w:tc>
          <w:tcPr>
            <w:tcW w:w="755" w:type="pct"/>
            <w:tcBorders>
              <w:top w:val="single" w:sz="8" w:space="0" w:color="auto"/>
            </w:tcBorders>
          </w:tcPr>
          <w:p w14:paraId="239DC55B"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0.872 </w:t>
            </w:r>
          </w:p>
        </w:tc>
        <w:tc>
          <w:tcPr>
            <w:tcW w:w="642" w:type="pct"/>
            <w:tcBorders>
              <w:top w:val="single" w:sz="8" w:space="0" w:color="auto"/>
            </w:tcBorders>
          </w:tcPr>
          <w:p w14:paraId="76A8FBF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0.581 </w:t>
            </w:r>
          </w:p>
        </w:tc>
      </w:tr>
      <w:tr w:rsidR="00AA520A" w:rsidRPr="00120553" w14:paraId="20D940D8"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38B068AB"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AI-SCI_1 </w:t>
            </w:r>
          </w:p>
        </w:tc>
        <w:tc>
          <w:tcPr>
            <w:tcW w:w="578" w:type="pct"/>
            <w:hideMark/>
          </w:tcPr>
          <w:p w14:paraId="62AC308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0.768 </w:t>
            </w:r>
          </w:p>
        </w:tc>
        <w:tc>
          <w:tcPr>
            <w:tcW w:w="650" w:type="pct"/>
            <w:hideMark/>
          </w:tcPr>
          <w:p w14:paraId="02CD8A2D"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223A948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hideMark/>
          </w:tcPr>
          <w:p w14:paraId="3C5FB62A"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hideMark/>
          </w:tcPr>
          <w:p w14:paraId="3EDC349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3378EA5F"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hideMark/>
          </w:tcPr>
          <w:p w14:paraId="499971B7"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AI-SCI_2 </w:t>
            </w:r>
          </w:p>
        </w:tc>
        <w:tc>
          <w:tcPr>
            <w:tcW w:w="578" w:type="pct"/>
            <w:hideMark/>
          </w:tcPr>
          <w:p w14:paraId="1EAC4BC1"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0.861 </w:t>
            </w:r>
          </w:p>
        </w:tc>
        <w:tc>
          <w:tcPr>
            <w:tcW w:w="650" w:type="pct"/>
            <w:hideMark/>
          </w:tcPr>
          <w:p w14:paraId="52E2EF86"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93" w:type="pct"/>
          </w:tcPr>
          <w:p w14:paraId="670BBB4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755" w:type="pct"/>
            <w:hideMark/>
          </w:tcPr>
          <w:p w14:paraId="481D47B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42" w:type="pct"/>
            <w:hideMark/>
          </w:tcPr>
          <w:p w14:paraId="26555A60"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0D790DE2"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40C3FBA7"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AI-SCI_3 </w:t>
            </w:r>
          </w:p>
        </w:tc>
        <w:tc>
          <w:tcPr>
            <w:tcW w:w="578" w:type="pct"/>
            <w:hideMark/>
          </w:tcPr>
          <w:p w14:paraId="399A17E6"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0.822 </w:t>
            </w:r>
          </w:p>
        </w:tc>
        <w:tc>
          <w:tcPr>
            <w:tcW w:w="650" w:type="pct"/>
            <w:hideMark/>
          </w:tcPr>
          <w:p w14:paraId="6793B169"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280A07B3"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hideMark/>
          </w:tcPr>
          <w:p w14:paraId="23D62FDA"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hideMark/>
          </w:tcPr>
          <w:p w14:paraId="6AF67F28"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207A2441"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hideMark/>
          </w:tcPr>
          <w:p w14:paraId="78163D63"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AI-SCI_4 </w:t>
            </w:r>
          </w:p>
        </w:tc>
        <w:tc>
          <w:tcPr>
            <w:tcW w:w="578" w:type="pct"/>
            <w:hideMark/>
          </w:tcPr>
          <w:p w14:paraId="083DF834"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0.764 </w:t>
            </w:r>
          </w:p>
        </w:tc>
        <w:tc>
          <w:tcPr>
            <w:tcW w:w="650" w:type="pct"/>
            <w:hideMark/>
          </w:tcPr>
          <w:p w14:paraId="4C679278"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93" w:type="pct"/>
          </w:tcPr>
          <w:p w14:paraId="3C6AEC8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755" w:type="pct"/>
            <w:hideMark/>
          </w:tcPr>
          <w:p w14:paraId="6D01805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42" w:type="pct"/>
            <w:hideMark/>
          </w:tcPr>
          <w:p w14:paraId="6DA650E4"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64185CE3"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08CD9AF9"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AI-SCI_5 </w:t>
            </w:r>
          </w:p>
        </w:tc>
        <w:tc>
          <w:tcPr>
            <w:tcW w:w="578" w:type="pct"/>
            <w:hideMark/>
          </w:tcPr>
          <w:p w14:paraId="52BEEF43"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0.558 </w:t>
            </w:r>
          </w:p>
        </w:tc>
        <w:tc>
          <w:tcPr>
            <w:tcW w:w="650" w:type="pct"/>
            <w:hideMark/>
          </w:tcPr>
          <w:p w14:paraId="01EDCF03"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1B2B4842"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hideMark/>
          </w:tcPr>
          <w:p w14:paraId="667FDF39"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hideMark/>
          </w:tcPr>
          <w:p w14:paraId="52A376FB"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6EB68A67"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tcPr>
          <w:p w14:paraId="15B06B46"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Environmental Sustainability (Ahsan &amp; Rahman, 2023; Martinez, 2023)</w:t>
            </w:r>
          </w:p>
          <w:p w14:paraId="2C102B1B" w14:textId="77777777" w:rsidR="00AA520A" w:rsidRPr="00120553" w:rsidRDefault="00AA520A" w:rsidP="007618DF">
            <w:pPr>
              <w:rPr>
                <w:rFonts w:eastAsia="Times New Roman" w:cs="Times New Roman"/>
                <w:b w:val="0"/>
                <w:bCs w:val="0"/>
                <w:szCs w:val="20"/>
              </w:rPr>
            </w:pPr>
          </w:p>
        </w:tc>
        <w:tc>
          <w:tcPr>
            <w:tcW w:w="578" w:type="pct"/>
          </w:tcPr>
          <w:p w14:paraId="03527A03"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50" w:type="pct"/>
          </w:tcPr>
          <w:p w14:paraId="0E1F7858"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0.828 </w:t>
            </w:r>
          </w:p>
        </w:tc>
        <w:tc>
          <w:tcPr>
            <w:tcW w:w="693" w:type="pct"/>
          </w:tcPr>
          <w:p w14:paraId="685884B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0.878 </w:t>
            </w:r>
          </w:p>
        </w:tc>
        <w:tc>
          <w:tcPr>
            <w:tcW w:w="755" w:type="pct"/>
          </w:tcPr>
          <w:p w14:paraId="26E91D0E"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0.879 </w:t>
            </w:r>
          </w:p>
        </w:tc>
        <w:tc>
          <w:tcPr>
            <w:tcW w:w="642" w:type="pct"/>
          </w:tcPr>
          <w:p w14:paraId="580C661F"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0.599 </w:t>
            </w:r>
          </w:p>
        </w:tc>
      </w:tr>
      <w:tr w:rsidR="00AA520A" w:rsidRPr="00120553" w14:paraId="04ADD27E"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6BE874C5"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ES_1 </w:t>
            </w:r>
          </w:p>
        </w:tc>
        <w:tc>
          <w:tcPr>
            <w:tcW w:w="578" w:type="pct"/>
            <w:hideMark/>
          </w:tcPr>
          <w:p w14:paraId="4FD4A46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0.793 </w:t>
            </w:r>
          </w:p>
        </w:tc>
        <w:tc>
          <w:tcPr>
            <w:tcW w:w="650" w:type="pct"/>
          </w:tcPr>
          <w:p w14:paraId="2BB2C5A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0454614C"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hideMark/>
          </w:tcPr>
          <w:p w14:paraId="34254FBE"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hideMark/>
          </w:tcPr>
          <w:p w14:paraId="1670E92B"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41F0DF96"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hideMark/>
          </w:tcPr>
          <w:p w14:paraId="1B70E446"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ES_2 </w:t>
            </w:r>
          </w:p>
        </w:tc>
        <w:tc>
          <w:tcPr>
            <w:tcW w:w="578" w:type="pct"/>
            <w:hideMark/>
          </w:tcPr>
          <w:p w14:paraId="54F20342"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0.762 </w:t>
            </w:r>
          </w:p>
        </w:tc>
        <w:tc>
          <w:tcPr>
            <w:tcW w:w="650" w:type="pct"/>
          </w:tcPr>
          <w:p w14:paraId="6373CCC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93" w:type="pct"/>
          </w:tcPr>
          <w:p w14:paraId="6C84956F"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755" w:type="pct"/>
            <w:hideMark/>
          </w:tcPr>
          <w:p w14:paraId="3565AFA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42" w:type="pct"/>
            <w:hideMark/>
          </w:tcPr>
          <w:p w14:paraId="19112624"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5A271734"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50BE5349"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ES_3 </w:t>
            </w:r>
          </w:p>
        </w:tc>
        <w:tc>
          <w:tcPr>
            <w:tcW w:w="578" w:type="pct"/>
            <w:hideMark/>
          </w:tcPr>
          <w:p w14:paraId="308DF089"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0.537 </w:t>
            </w:r>
          </w:p>
        </w:tc>
        <w:tc>
          <w:tcPr>
            <w:tcW w:w="650" w:type="pct"/>
          </w:tcPr>
          <w:p w14:paraId="50518984"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63156D4F"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hideMark/>
          </w:tcPr>
          <w:p w14:paraId="480F602B"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hideMark/>
          </w:tcPr>
          <w:p w14:paraId="10E91DC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48F87305"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hideMark/>
          </w:tcPr>
          <w:p w14:paraId="28B21888"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ES_4 </w:t>
            </w:r>
          </w:p>
        </w:tc>
        <w:tc>
          <w:tcPr>
            <w:tcW w:w="578" w:type="pct"/>
            <w:hideMark/>
          </w:tcPr>
          <w:p w14:paraId="5363EFC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0.917 </w:t>
            </w:r>
          </w:p>
        </w:tc>
        <w:tc>
          <w:tcPr>
            <w:tcW w:w="650" w:type="pct"/>
          </w:tcPr>
          <w:p w14:paraId="3BF34F82"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93" w:type="pct"/>
          </w:tcPr>
          <w:p w14:paraId="003E055F"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755" w:type="pct"/>
            <w:hideMark/>
          </w:tcPr>
          <w:p w14:paraId="6660CA80"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42" w:type="pct"/>
            <w:hideMark/>
          </w:tcPr>
          <w:p w14:paraId="2A458B2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103252A9"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7E615975"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ES_5 </w:t>
            </w:r>
          </w:p>
        </w:tc>
        <w:tc>
          <w:tcPr>
            <w:tcW w:w="578" w:type="pct"/>
            <w:hideMark/>
          </w:tcPr>
          <w:p w14:paraId="77B1EB1E"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0.810 </w:t>
            </w:r>
          </w:p>
        </w:tc>
        <w:tc>
          <w:tcPr>
            <w:tcW w:w="650" w:type="pct"/>
          </w:tcPr>
          <w:p w14:paraId="7F95C36C"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2F770B3C"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hideMark/>
          </w:tcPr>
          <w:p w14:paraId="04F6C029"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hideMark/>
          </w:tcPr>
          <w:p w14:paraId="0936A3B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01A001C3"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tcPr>
          <w:p w14:paraId="7599C7F3" w14:textId="77777777" w:rsidR="00AA520A" w:rsidRPr="00120553" w:rsidRDefault="00AA520A" w:rsidP="007618DF">
            <w:pPr>
              <w:rPr>
                <w:rFonts w:eastAsia="Times New Roman" w:cs="Times New Roman"/>
                <w:szCs w:val="20"/>
                <w:shd w:val="clear" w:color="auto" w:fill="FFFFFF"/>
              </w:rPr>
            </w:pPr>
            <w:r w:rsidRPr="00120553">
              <w:rPr>
                <w:rFonts w:eastAsia="Times New Roman" w:cs="Times New Roman"/>
                <w:szCs w:val="20"/>
              </w:rPr>
              <w:t>Supply Chain Agility (</w:t>
            </w:r>
            <w:r w:rsidRPr="00120553">
              <w:rPr>
                <w:rFonts w:eastAsia="Times New Roman" w:cs="Times New Roman"/>
                <w:szCs w:val="20"/>
                <w:shd w:val="clear" w:color="auto" w:fill="FFFFFF"/>
              </w:rPr>
              <w:t>Inman and Green 2021; Braunscheidel et al., 2009; Bak et al., 2020; Queiroz et al.,</w:t>
            </w:r>
          </w:p>
          <w:p w14:paraId="2798BC13"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shd w:val="clear" w:color="auto" w:fill="FFFFFF"/>
              </w:rPr>
              <w:t>2021)</w:t>
            </w:r>
          </w:p>
        </w:tc>
        <w:tc>
          <w:tcPr>
            <w:tcW w:w="578" w:type="pct"/>
          </w:tcPr>
          <w:p w14:paraId="2973F60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50" w:type="pct"/>
          </w:tcPr>
          <w:p w14:paraId="60B31FB2"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0.795 </w:t>
            </w:r>
          </w:p>
        </w:tc>
        <w:tc>
          <w:tcPr>
            <w:tcW w:w="693" w:type="pct"/>
          </w:tcPr>
          <w:p w14:paraId="52D3DABC"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0.834 </w:t>
            </w:r>
          </w:p>
        </w:tc>
        <w:tc>
          <w:tcPr>
            <w:tcW w:w="755" w:type="pct"/>
          </w:tcPr>
          <w:p w14:paraId="247B4DCB"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0.863 </w:t>
            </w:r>
          </w:p>
        </w:tc>
        <w:tc>
          <w:tcPr>
            <w:tcW w:w="642" w:type="pct"/>
          </w:tcPr>
          <w:p w14:paraId="29642303"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0.614 </w:t>
            </w:r>
          </w:p>
        </w:tc>
      </w:tr>
      <w:tr w:rsidR="00AA520A" w:rsidRPr="00120553" w14:paraId="6E41E9FB"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727036E1"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SCA_1 </w:t>
            </w:r>
          </w:p>
        </w:tc>
        <w:tc>
          <w:tcPr>
            <w:tcW w:w="578" w:type="pct"/>
            <w:hideMark/>
          </w:tcPr>
          <w:p w14:paraId="55F659E9"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0.805 </w:t>
            </w:r>
          </w:p>
        </w:tc>
        <w:tc>
          <w:tcPr>
            <w:tcW w:w="650" w:type="pct"/>
          </w:tcPr>
          <w:p w14:paraId="66E434E8"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5BCE8C62"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tcPr>
          <w:p w14:paraId="1DEC7F38"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hideMark/>
          </w:tcPr>
          <w:p w14:paraId="14D9453D"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765D8FC2"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hideMark/>
          </w:tcPr>
          <w:p w14:paraId="71BA448E"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SCA_2 </w:t>
            </w:r>
          </w:p>
        </w:tc>
        <w:tc>
          <w:tcPr>
            <w:tcW w:w="578" w:type="pct"/>
            <w:hideMark/>
          </w:tcPr>
          <w:p w14:paraId="11E4FDE4"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0.830 </w:t>
            </w:r>
          </w:p>
        </w:tc>
        <w:tc>
          <w:tcPr>
            <w:tcW w:w="650" w:type="pct"/>
            <w:hideMark/>
          </w:tcPr>
          <w:p w14:paraId="18ECC283"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93" w:type="pct"/>
          </w:tcPr>
          <w:p w14:paraId="4DEED54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755" w:type="pct"/>
          </w:tcPr>
          <w:p w14:paraId="5E79261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42" w:type="pct"/>
            <w:hideMark/>
          </w:tcPr>
          <w:p w14:paraId="68B80325"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6B9AE4B4"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7E610633"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SCA_3 </w:t>
            </w:r>
          </w:p>
        </w:tc>
        <w:tc>
          <w:tcPr>
            <w:tcW w:w="578" w:type="pct"/>
            <w:hideMark/>
          </w:tcPr>
          <w:p w14:paraId="6B37D52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0.672 </w:t>
            </w:r>
          </w:p>
        </w:tc>
        <w:tc>
          <w:tcPr>
            <w:tcW w:w="650" w:type="pct"/>
            <w:hideMark/>
          </w:tcPr>
          <w:p w14:paraId="57F81D8A"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64922D25"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tcPr>
          <w:p w14:paraId="56DAC18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hideMark/>
          </w:tcPr>
          <w:p w14:paraId="213E3C45"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3151992F"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hideMark/>
          </w:tcPr>
          <w:p w14:paraId="3044ABBA"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SCA_4 </w:t>
            </w:r>
          </w:p>
        </w:tc>
        <w:tc>
          <w:tcPr>
            <w:tcW w:w="578" w:type="pct"/>
            <w:hideMark/>
          </w:tcPr>
          <w:p w14:paraId="557CCC6B"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0.817 </w:t>
            </w:r>
          </w:p>
        </w:tc>
        <w:tc>
          <w:tcPr>
            <w:tcW w:w="650" w:type="pct"/>
            <w:hideMark/>
          </w:tcPr>
          <w:p w14:paraId="2FBB1A83"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93" w:type="pct"/>
          </w:tcPr>
          <w:p w14:paraId="37F4CDCF"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755" w:type="pct"/>
          </w:tcPr>
          <w:p w14:paraId="45885D35"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42" w:type="pct"/>
            <w:hideMark/>
          </w:tcPr>
          <w:p w14:paraId="1B6CA062"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4D6FAEA4" w14:textId="77777777" w:rsidTr="00AA520A">
        <w:tc>
          <w:tcPr>
            <w:cnfStyle w:val="001000000000" w:firstRow="0" w:lastRow="0" w:firstColumn="1" w:lastColumn="0" w:oddVBand="0" w:evenVBand="0" w:oddHBand="0" w:evenHBand="0" w:firstRowFirstColumn="0" w:firstRowLastColumn="0" w:lastRowFirstColumn="0" w:lastRowLastColumn="0"/>
            <w:tcW w:w="1681" w:type="pct"/>
          </w:tcPr>
          <w:p w14:paraId="226E61CA"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lastRenderedPageBreak/>
              <w:t xml:space="preserve">Technological Readiness </w:t>
            </w:r>
            <w:r w:rsidRPr="00120553">
              <w:rPr>
                <w:rFonts w:eastAsia="Times New Roman" w:cs="Times New Roman"/>
                <w:szCs w:val="20"/>
                <w:shd w:val="clear" w:color="auto" w:fill="FFFFFF"/>
              </w:rPr>
              <w:t>(Singh &amp; Patel, 2023; Khan &amp; Rahman, 2023)</w:t>
            </w:r>
          </w:p>
        </w:tc>
        <w:tc>
          <w:tcPr>
            <w:tcW w:w="578" w:type="pct"/>
          </w:tcPr>
          <w:p w14:paraId="7FAA4152"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50" w:type="pct"/>
          </w:tcPr>
          <w:p w14:paraId="4198D6CF"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0.858 </w:t>
            </w:r>
          </w:p>
        </w:tc>
        <w:tc>
          <w:tcPr>
            <w:tcW w:w="693" w:type="pct"/>
          </w:tcPr>
          <w:p w14:paraId="1F758BF5"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0.862 </w:t>
            </w:r>
          </w:p>
        </w:tc>
        <w:tc>
          <w:tcPr>
            <w:tcW w:w="755" w:type="pct"/>
          </w:tcPr>
          <w:p w14:paraId="7B86F7CA"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0.905 </w:t>
            </w:r>
          </w:p>
        </w:tc>
        <w:tc>
          <w:tcPr>
            <w:tcW w:w="642" w:type="pct"/>
          </w:tcPr>
          <w:p w14:paraId="03DCECA8"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0.705 </w:t>
            </w:r>
          </w:p>
        </w:tc>
      </w:tr>
      <w:tr w:rsidR="00AA520A" w:rsidRPr="00120553" w14:paraId="2D359976"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hideMark/>
          </w:tcPr>
          <w:p w14:paraId="508B999A"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TR_1 </w:t>
            </w:r>
          </w:p>
        </w:tc>
        <w:tc>
          <w:tcPr>
            <w:tcW w:w="578" w:type="pct"/>
            <w:hideMark/>
          </w:tcPr>
          <w:p w14:paraId="1690827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0.861 </w:t>
            </w:r>
          </w:p>
        </w:tc>
        <w:tc>
          <w:tcPr>
            <w:tcW w:w="650" w:type="pct"/>
            <w:hideMark/>
          </w:tcPr>
          <w:p w14:paraId="40EAAB35"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93" w:type="pct"/>
          </w:tcPr>
          <w:p w14:paraId="05B6FA22"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755" w:type="pct"/>
            <w:hideMark/>
          </w:tcPr>
          <w:p w14:paraId="57A690B7"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42" w:type="pct"/>
          </w:tcPr>
          <w:p w14:paraId="2C0A9652"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1C9751C7" w14:textId="77777777" w:rsidTr="00AA520A">
        <w:tc>
          <w:tcPr>
            <w:cnfStyle w:val="001000000000" w:firstRow="0" w:lastRow="0" w:firstColumn="1" w:lastColumn="0" w:oddVBand="0" w:evenVBand="0" w:oddHBand="0" w:evenHBand="0" w:firstRowFirstColumn="0" w:firstRowLastColumn="0" w:lastRowFirstColumn="0" w:lastRowLastColumn="0"/>
            <w:tcW w:w="1681" w:type="pct"/>
            <w:hideMark/>
          </w:tcPr>
          <w:p w14:paraId="7C4D1D41"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TR_2 </w:t>
            </w:r>
          </w:p>
        </w:tc>
        <w:tc>
          <w:tcPr>
            <w:tcW w:w="578" w:type="pct"/>
            <w:hideMark/>
          </w:tcPr>
          <w:p w14:paraId="35683B34"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0.887 </w:t>
            </w:r>
          </w:p>
        </w:tc>
        <w:tc>
          <w:tcPr>
            <w:tcW w:w="650" w:type="pct"/>
            <w:hideMark/>
          </w:tcPr>
          <w:p w14:paraId="7AB405A4"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Pr>
          <w:p w14:paraId="674956EB"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hideMark/>
          </w:tcPr>
          <w:p w14:paraId="03985668"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tcPr>
          <w:p w14:paraId="06378FE1"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2D64970E"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hideMark/>
          </w:tcPr>
          <w:p w14:paraId="74290B1E"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TR_3 </w:t>
            </w:r>
          </w:p>
        </w:tc>
        <w:tc>
          <w:tcPr>
            <w:tcW w:w="578" w:type="pct"/>
            <w:hideMark/>
          </w:tcPr>
          <w:p w14:paraId="659C7735"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0.730 </w:t>
            </w:r>
          </w:p>
        </w:tc>
        <w:tc>
          <w:tcPr>
            <w:tcW w:w="650" w:type="pct"/>
            <w:hideMark/>
          </w:tcPr>
          <w:p w14:paraId="3E960917"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93" w:type="pct"/>
          </w:tcPr>
          <w:p w14:paraId="1CE79338"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755" w:type="pct"/>
            <w:hideMark/>
          </w:tcPr>
          <w:p w14:paraId="7B079957"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642" w:type="pct"/>
          </w:tcPr>
          <w:p w14:paraId="6D92A22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179F71AB" w14:textId="77777777" w:rsidTr="00AA520A">
        <w:tc>
          <w:tcPr>
            <w:cnfStyle w:val="001000000000" w:firstRow="0" w:lastRow="0" w:firstColumn="1" w:lastColumn="0" w:oddVBand="0" w:evenVBand="0" w:oddHBand="0" w:evenHBand="0" w:firstRowFirstColumn="0" w:firstRowLastColumn="0" w:lastRowFirstColumn="0" w:lastRowLastColumn="0"/>
            <w:tcW w:w="1681" w:type="pct"/>
            <w:tcBorders>
              <w:bottom w:val="single" w:sz="12" w:space="0" w:color="auto"/>
            </w:tcBorders>
            <w:hideMark/>
          </w:tcPr>
          <w:p w14:paraId="0703AD8F"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TR_4 </w:t>
            </w:r>
          </w:p>
        </w:tc>
        <w:tc>
          <w:tcPr>
            <w:tcW w:w="578" w:type="pct"/>
            <w:tcBorders>
              <w:bottom w:val="single" w:sz="12" w:space="0" w:color="auto"/>
            </w:tcBorders>
            <w:hideMark/>
          </w:tcPr>
          <w:p w14:paraId="332606A4"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r w:rsidRPr="00120553">
              <w:rPr>
                <w:rFonts w:eastAsia="Times New Roman" w:cs="Times New Roman"/>
                <w:szCs w:val="20"/>
              </w:rPr>
              <w:t xml:space="preserve">0.870 </w:t>
            </w:r>
          </w:p>
        </w:tc>
        <w:tc>
          <w:tcPr>
            <w:tcW w:w="650" w:type="pct"/>
            <w:tcBorders>
              <w:bottom w:val="single" w:sz="12" w:space="0" w:color="auto"/>
            </w:tcBorders>
            <w:hideMark/>
          </w:tcPr>
          <w:p w14:paraId="54D98430"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93" w:type="pct"/>
            <w:tcBorders>
              <w:bottom w:val="single" w:sz="12" w:space="0" w:color="auto"/>
            </w:tcBorders>
          </w:tcPr>
          <w:p w14:paraId="37B111A3"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755" w:type="pct"/>
            <w:tcBorders>
              <w:bottom w:val="single" w:sz="12" w:space="0" w:color="auto"/>
            </w:tcBorders>
            <w:hideMark/>
          </w:tcPr>
          <w:p w14:paraId="1EFE58C8"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642" w:type="pct"/>
            <w:tcBorders>
              <w:bottom w:val="single" w:sz="12" w:space="0" w:color="auto"/>
            </w:tcBorders>
          </w:tcPr>
          <w:p w14:paraId="1EA0BDD6"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bl>
    <w:p w14:paraId="591FBD17" w14:textId="77777777" w:rsidR="00AA520A" w:rsidRPr="00AA520A" w:rsidRDefault="00AA520A" w:rsidP="00AA520A"/>
    <w:p w14:paraId="68FA2861" w14:textId="4B30E595" w:rsidR="00AA520A" w:rsidRPr="00AA520A" w:rsidRDefault="00AA520A" w:rsidP="00CC01FB">
      <w:pPr>
        <w:jc w:val="center"/>
      </w:pPr>
      <w:r w:rsidRPr="00AA520A">
        <w:rPr>
          <w:b/>
          <w:bCs/>
        </w:rPr>
        <w:t>Table 3</w:t>
      </w:r>
      <w:r w:rsidR="0090192B">
        <w:rPr>
          <w:b/>
          <w:bCs/>
        </w:rPr>
        <w:t>:</w:t>
      </w:r>
      <w:r w:rsidRPr="00AA520A">
        <w:t xml:space="preserve"> Discriminant validity (HTMT approach).</w:t>
      </w:r>
    </w:p>
    <w:tbl>
      <w:tblPr>
        <w:tblStyle w:val="PlainTable4"/>
        <w:tblW w:w="5000" w:type="pct"/>
        <w:tblLook w:val="04A0" w:firstRow="1" w:lastRow="0" w:firstColumn="1" w:lastColumn="0" w:noHBand="0" w:noVBand="1"/>
      </w:tblPr>
      <w:tblGrid>
        <w:gridCol w:w="2389"/>
        <w:gridCol w:w="2389"/>
        <w:gridCol w:w="1655"/>
        <w:gridCol w:w="1837"/>
        <w:gridCol w:w="1476"/>
      </w:tblGrid>
      <w:tr w:rsidR="00AA520A" w:rsidRPr="00120553" w14:paraId="7220BD56" w14:textId="77777777" w:rsidTr="00CC0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8" w:space="0" w:color="auto"/>
            </w:tcBorders>
            <w:hideMark/>
          </w:tcPr>
          <w:p w14:paraId="7696587F" w14:textId="77777777" w:rsidR="00AA520A" w:rsidRPr="00120553" w:rsidRDefault="00AA520A" w:rsidP="007618DF">
            <w:pPr>
              <w:rPr>
                <w:rFonts w:eastAsia="Times New Roman" w:cs="Times New Roman"/>
                <w:szCs w:val="20"/>
              </w:rPr>
            </w:pPr>
            <w:r>
              <w:rPr>
                <w:rFonts w:eastAsia="Times New Roman" w:cs="Times New Roman"/>
                <w:szCs w:val="20"/>
              </w:rPr>
              <w:t xml:space="preserve">Items </w:t>
            </w:r>
          </w:p>
        </w:tc>
        <w:tc>
          <w:tcPr>
            <w:tcW w:w="0" w:type="auto"/>
            <w:tcBorders>
              <w:top w:val="single" w:sz="12" w:space="0" w:color="auto"/>
              <w:bottom w:val="single" w:sz="8" w:space="0" w:color="auto"/>
            </w:tcBorders>
            <w:hideMark/>
          </w:tcPr>
          <w:p w14:paraId="00CDE764"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 xml:space="preserve">AI-SCI_ </w:t>
            </w:r>
          </w:p>
        </w:tc>
        <w:tc>
          <w:tcPr>
            <w:tcW w:w="0" w:type="auto"/>
            <w:tcBorders>
              <w:top w:val="single" w:sz="12" w:space="0" w:color="auto"/>
              <w:bottom w:val="single" w:sz="8" w:space="0" w:color="auto"/>
            </w:tcBorders>
            <w:hideMark/>
          </w:tcPr>
          <w:p w14:paraId="7632A67D"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 xml:space="preserve">ES_ </w:t>
            </w:r>
          </w:p>
        </w:tc>
        <w:tc>
          <w:tcPr>
            <w:tcW w:w="0" w:type="auto"/>
            <w:tcBorders>
              <w:top w:val="single" w:sz="12" w:space="0" w:color="auto"/>
              <w:bottom w:val="single" w:sz="8" w:space="0" w:color="auto"/>
            </w:tcBorders>
            <w:hideMark/>
          </w:tcPr>
          <w:p w14:paraId="102A0E56"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 xml:space="preserve">SCA_ </w:t>
            </w:r>
          </w:p>
        </w:tc>
        <w:tc>
          <w:tcPr>
            <w:tcW w:w="0" w:type="auto"/>
            <w:tcBorders>
              <w:top w:val="single" w:sz="12" w:space="0" w:color="auto"/>
              <w:bottom w:val="single" w:sz="8" w:space="0" w:color="auto"/>
            </w:tcBorders>
            <w:hideMark/>
          </w:tcPr>
          <w:p w14:paraId="3874C119" w14:textId="77777777" w:rsidR="00AA520A" w:rsidRPr="00120553" w:rsidRDefault="00AA520A"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0"/>
              </w:rPr>
            </w:pPr>
            <w:r w:rsidRPr="00120553">
              <w:rPr>
                <w:rFonts w:eastAsia="Times New Roman" w:cs="Times New Roman"/>
                <w:szCs w:val="20"/>
              </w:rPr>
              <w:t xml:space="preserve">TR_ </w:t>
            </w:r>
          </w:p>
        </w:tc>
      </w:tr>
      <w:tr w:rsidR="00AA520A" w:rsidRPr="00120553" w14:paraId="1B640328" w14:textId="77777777" w:rsidTr="00CC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hideMark/>
          </w:tcPr>
          <w:p w14:paraId="6D0C839A"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AI-SCI_ </w:t>
            </w:r>
          </w:p>
        </w:tc>
        <w:tc>
          <w:tcPr>
            <w:tcW w:w="0" w:type="auto"/>
            <w:tcBorders>
              <w:top w:val="single" w:sz="8" w:space="0" w:color="auto"/>
            </w:tcBorders>
            <w:hideMark/>
          </w:tcPr>
          <w:p w14:paraId="1421926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p>
        </w:tc>
        <w:tc>
          <w:tcPr>
            <w:tcW w:w="0" w:type="auto"/>
            <w:tcBorders>
              <w:top w:val="single" w:sz="8" w:space="0" w:color="auto"/>
            </w:tcBorders>
            <w:hideMark/>
          </w:tcPr>
          <w:p w14:paraId="66FB0D3A"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0" w:type="auto"/>
            <w:tcBorders>
              <w:top w:val="single" w:sz="8" w:space="0" w:color="auto"/>
            </w:tcBorders>
            <w:hideMark/>
          </w:tcPr>
          <w:p w14:paraId="48375BA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0" w:type="auto"/>
            <w:tcBorders>
              <w:top w:val="single" w:sz="8" w:space="0" w:color="auto"/>
            </w:tcBorders>
            <w:hideMark/>
          </w:tcPr>
          <w:p w14:paraId="0EC44A53"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78229FF1" w14:textId="77777777" w:rsidTr="00AA520A">
        <w:tc>
          <w:tcPr>
            <w:cnfStyle w:val="001000000000" w:firstRow="0" w:lastRow="0" w:firstColumn="1" w:lastColumn="0" w:oddVBand="0" w:evenVBand="0" w:oddHBand="0" w:evenHBand="0" w:firstRowFirstColumn="0" w:firstRowLastColumn="0" w:lastRowFirstColumn="0" w:lastRowLastColumn="0"/>
            <w:tcW w:w="0" w:type="auto"/>
            <w:hideMark/>
          </w:tcPr>
          <w:p w14:paraId="66D9E76D"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ES_ </w:t>
            </w:r>
          </w:p>
        </w:tc>
        <w:tc>
          <w:tcPr>
            <w:tcW w:w="0" w:type="auto"/>
            <w:hideMark/>
          </w:tcPr>
          <w:p w14:paraId="50902EE4"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0.731 </w:t>
            </w:r>
          </w:p>
        </w:tc>
        <w:tc>
          <w:tcPr>
            <w:tcW w:w="0" w:type="auto"/>
            <w:hideMark/>
          </w:tcPr>
          <w:p w14:paraId="4663C90E"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0" w:type="auto"/>
            <w:hideMark/>
          </w:tcPr>
          <w:p w14:paraId="7D24EAF5"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0" w:type="auto"/>
            <w:hideMark/>
          </w:tcPr>
          <w:p w14:paraId="0C56C725"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AA520A" w:rsidRPr="00120553" w14:paraId="3C2D1D9B" w14:textId="77777777" w:rsidTr="00AA5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5EE805"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SCA_ </w:t>
            </w:r>
          </w:p>
        </w:tc>
        <w:tc>
          <w:tcPr>
            <w:tcW w:w="0" w:type="auto"/>
            <w:hideMark/>
          </w:tcPr>
          <w:p w14:paraId="4AF7F13D"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0.892 </w:t>
            </w:r>
          </w:p>
        </w:tc>
        <w:tc>
          <w:tcPr>
            <w:tcW w:w="0" w:type="auto"/>
            <w:hideMark/>
          </w:tcPr>
          <w:p w14:paraId="24EEA0CE"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0.749 </w:t>
            </w:r>
          </w:p>
        </w:tc>
        <w:tc>
          <w:tcPr>
            <w:tcW w:w="0" w:type="auto"/>
            <w:hideMark/>
          </w:tcPr>
          <w:p w14:paraId="719BCB09"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0" w:type="auto"/>
            <w:hideMark/>
          </w:tcPr>
          <w:p w14:paraId="00C90E10" w14:textId="77777777" w:rsidR="00AA520A" w:rsidRPr="00120553" w:rsidRDefault="00AA520A"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AA520A" w:rsidRPr="00120553" w14:paraId="4E8CD1C6" w14:textId="77777777" w:rsidTr="00CC01FB">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29D59A14" w14:textId="77777777" w:rsidR="00AA520A" w:rsidRPr="00120553" w:rsidRDefault="00AA520A" w:rsidP="007618DF">
            <w:pPr>
              <w:rPr>
                <w:rFonts w:eastAsia="Times New Roman" w:cs="Times New Roman"/>
                <w:b w:val="0"/>
                <w:bCs w:val="0"/>
                <w:szCs w:val="20"/>
              </w:rPr>
            </w:pPr>
            <w:r w:rsidRPr="00120553">
              <w:rPr>
                <w:rFonts w:eastAsia="Times New Roman" w:cs="Times New Roman"/>
                <w:szCs w:val="20"/>
              </w:rPr>
              <w:t xml:space="preserve">TR_ </w:t>
            </w:r>
          </w:p>
        </w:tc>
        <w:tc>
          <w:tcPr>
            <w:tcW w:w="0" w:type="auto"/>
            <w:tcBorders>
              <w:bottom w:val="single" w:sz="12" w:space="0" w:color="auto"/>
            </w:tcBorders>
            <w:hideMark/>
          </w:tcPr>
          <w:p w14:paraId="0284BD3F"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0.863 </w:t>
            </w:r>
          </w:p>
        </w:tc>
        <w:tc>
          <w:tcPr>
            <w:tcW w:w="0" w:type="auto"/>
            <w:tcBorders>
              <w:bottom w:val="single" w:sz="12" w:space="0" w:color="auto"/>
            </w:tcBorders>
            <w:hideMark/>
          </w:tcPr>
          <w:p w14:paraId="395CD468"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0.752 </w:t>
            </w:r>
          </w:p>
        </w:tc>
        <w:tc>
          <w:tcPr>
            <w:tcW w:w="0" w:type="auto"/>
            <w:tcBorders>
              <w:bottom w:val="single" w:sz="12" w:space="0" w:color="auto"/>
            </w:tcBorders>
            <w:hideMark/>
          </w:tcPr>
          <w:p w14:paraId="394D6E4E"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120553">
              <w:rPr>
                <w:rFonts w:eastAsia="Times New Roman" w:cs="Times New Roman"/>
                <w:szCs w:val="20"/>
              </w:rPr>
              <w:t xml:space="preserve">1.024 </w:t>
            </w:r>
          </w:p>
        </w:tc>
        <w:tc>
          <w:tcPr>
            <w:tcW w:w="0" w:type="auto"/>
            <w:tcBorders>
              <w:bottom w:val="single" w:sz="12" w:space="0" w:color="auto"/>
            </w:tcBorders>
            <w:hideMark/>
          </w:tcPr>
          <w:p w14:paraId="6A8D6C9E" w14:textId="77777777" w:rsidR="00AA520A" w:rsidRPr="00120553" w:rsidRDefault="00AA520A"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bl>
    <w:p w14:paraId="7C9A509D" w14:textId="00A4FA77" w:rsidR="00790B43" w:rsidRDefault="00790B43" w:rsidP="0081049C"/>
    <w:p w14:paraId="64E30579" w14:textId="2B6A154C" w:rsidR="004B3681" w:rsidRDefault="004B3681" w:rsidP="004B3681">
      <w:pPr>
        <w:spacing w:line="278" w:lineRule="auto"/>
        <w:jc w:val="center"/>
        <w:rPr>
          <w:rFonts w:eastAsia="Aptos" w:cs="Times New Roman"/>
          <w:kern w:val="2"/>
          <w:szCs w:val="20"/>
          <w14:ligatures w14:val="standardContextual"/>
        </w:rPr>
      </w:pPr>
      <w:r w:rsidRPr="004B3681">
        <w:rPr>
          <w:rFonts w:eastAsia="Aptos" w:cs="Times New Roman"/>
          <w:b/>
          <w:bCs/>
          <w:kern w:val="2"/>
          <w:szCs w:val="20"/>
          <w14:ligatures w14:val="standardContextual"/>
        </w:rPr>
        <w:t>Table 4</w:t>
      </w:r>
      <w:r w:rsidR="0090192B">
        <w:rPr>
          <w:rFonts w:eastAsia="Aptos" w:cs="Times New Roman"/>
          <w:b/>
          <w:bCs/>
          <w:kern w:val="2"/>
          <w:szCs w:val="20"/>
          <w14:ligatures w14:val="standardContextual"/>
        </w:rPr>
        <w:t>:</w:t>
      </w:r>
      <w:r w:rsidRPr="00120553">
        <w:rPr>
          <w:rFonts w:eastAsia="Aptos" w:cs="Times New Roman"/>
          <w:kern w:val="2"/>
          <w:szCs w:val="20"/>
          <w14:ligatures w14:val="standardContextual"/>
        </w:rPr>
        <w:t xml:space="preserve"> </w:t>
      </w:r>
      <w:r>
        <w:rPr>
          <w:rFonts w:eastAsia="Aptos" w:cs="Times New Roman"/>
          <w:kern w:val="2"/>
          <w:szCs w:val="20"/>
          <w14:ligatures w14:val="standardContextual"/>
        </w:rPr>
        <w:t>Fornell-Larcker</w:t>
      </w:r>
      <w:r w:rsidRPr="00120553">
        <w:rPr>
          <w:rFonts w:eastAsia="Aptos" w:cs="Times New Roman"/>
          <w:kern w:val="2"/>
          <w:szCs w:val="20"/>
          <w14:ligatures w14:val="standardContextual"/>
        </w:rPr>
        <w:t xml:space="preserve"> criterion</w:t>
      </w:r>
    </w:p>
    <w:tbl>
      <w:tblPr>
        <w:tblStyle w:val="PlainTable4"/>
        <w:tblW w:w="5000" w:type="pct"/>
        <w:tblLook w:val="04A0" w:firstRow="1" w:lastRow="0" w:firstColumn="1" w:lastColumn="0" w:noHBand="0" w:noVBand="1"/>
      </w:tblPr>
      <w:tblGrid>
        <w:gridCol w:w="2345"/>
        <w:gridCol w:w="2345"/>
        <w:gridCol w:w="1626"/>
        <w:gridCol w:w="1804"/>
        <w:gridCol w:w="1626"/>
      </w:tblGrid>
      <w:tr w:rsidR="004B3681" w:rsidRPr="00BF1114" w14:paraId="24DC8079" w14:textId="77777777" w:rsidTr="004B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8" w:space="0" w:color="auto"/>
            </w:tcBorders>
            <w:hideMark/>
          </w:tcPr>
          <w:p w14:paraId="2A67B989" w14:textId="77777777" w:rsidR="004B3681" w:rsidRPr="00BF1114" w:rsidRDefault="004B3681" w:rsidP="007618DF">
            <w:pPr>
              <w:rPr>
                <w:rFonts w:eastAsia="Times New Roman" w:cs="Times New Roman"/>
                <w:szCs w:val="20"/>
              </w:rPr>
            </w:pPr>
            <w:r w:rsidRPr="00BF1114">
              <w:rPr>
                <w:rFonts w:eastAsia="Times New Roman" w:cs="Times New Roman"/>
                <w:szCs w:val="20"/>
              </w:rPr>
              <w:t xml:space="preserve">Items </w:t>
            </w:r>
          </w:p>
        </w:tc>
        <w:tc>
          <w:tcPr>
            <w:tcW w:w="0" w:type="auto"/>
            <w:tcBorders>
              <w:top w:val="single" w:sz="12" w:space="0" w:color="auto"/>
              <w:bottom w:val="single" w:sz="8" w:space="0" w:color="auto"/>
            </w:tcBorders>
            <w:hideMark/>
          </w:tcPr>
          <w:p w14:paraId="68457A0F" w14:textId="77777777" w:rsidR="004B3681" w:rsidRPr="00BF1114" w:rsidRDefault="004B3681"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AI-SCI_ </w:t>
            </w:r>
          </w:p>
        </w:tc>
        <w:tc>
          <w:tcPr>
            <w:tcW w:w="0" w:type="auto"/>
            <w:tcBorders>
              <w:top w:val="single" w:sz="12" w:space="0" w:color="auto"/>
              <w:bottom w:val="single" w:sz="8" w:space="0" w:color="auto"/>
            </w:tcBorders>
            <w:hideMark/>
          </w:tcPr>
          <w:p w14:paraId="4C68819E" w14:textId="77777777" w:rsidR="004B3681" w:rsidRPr="00BF1114" w:rsidRDefault="004B3681"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ES_ </w:t>
            </w:r>
          </w:p>
        </w:tc>
        <w:tc>
          <w:tcPr>
            <w:tcW w:w="0" w:type="auto"/>
            <w:tcBorders>
              <w:top w:val="single" w:sz="12" w:space="0" w:color="auto"/>
              <w:bottom w:val="single" w:sz="8" w:space="0" w:color="auto"/>
            </w:tcBorders>
            <w:hideMark/>
          </w:tcPr>
          <w:p w14:paraId="60416104" w14:textId="77777777" w:rsidR="004B3681" w:rsidRPr="00BF1114" w:rsidRDefault="004B3681"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SCA_ </w:t>
            </w:r>
          </w:p>
        </w:tc>
        <w:tc>
          <w:tcPr>
            <w:tcW w:w="0" w:type="auto"/>
            <w:tcBorders>
              <w:top w:val="single" w:sz="12" w:space="0" w:color="auto"/>
              <w:bottom w:val="single" w:sz="8" w:space="0" w:color="auto"/>
            </w:tcBorders>
            <w:hideMark/>
          </w:tcPr>
          <w:p w14:paraId="4733AF65" w14:textId="77777777" w:rsidR="004B3681" w:rsidRPr="00BF1114" w:rsidRDefault="004B3681"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TR_ </w:t>
            </w:r>
          </w:p>
        </w:tc>
      </w:tr>
      <w:tr w:rsidR="004B3681" w:rsidRPr="00BF1114" w14:paraId="485E6D39" w14:textId="77777777" w:rsidTr="004B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hideMark/>
          </w:tcPr>
          <w:p w14:paraId="3A396013" w14:textId="77777777" w:rsidR="004B3681" w:rsidRPr="00BF1114" w:rsidRDefault="004B3681" w:rsidP="007618DF">
            <w:pPr>
              <w:rPr>
                <w:rFonts w:eastAsia="Times New Roman" w:cs="Times New Roman"/>
                <w:bCs w:val="0"/>
                <w:szCs w:val="20"/>
              </w:rPr>
            </w:pPr>
            <w:r w:rsidRPr="00BF1114">
              <w:rPr>
                <w:rFonts w:eastAsia="Times New Roman" w:cs="Times New Roman"/>
                <w:bCs w:val="0"/>
                <w:szCs w:val="20"/>
              </w:rPr>
              <w:t xml:space="preserve">AI-SCI_ </w:t>
            </w:r>
          </w:p>
        </w:tc>
        <w:tc>
          <w:tcPr>
            <w:tcW w:w="0" w:type="auto"/>
            <w:tcBorders>
              <w:top w:val="single" w:sz="8" w:space="0" w:color="auto"/>
            </w:tcBorders>
            <w:hideMark/>
          </w:tcPr>
          <w:p w14:paraId="462782A2" w14:textId="77777777" w:rsidR="004B3681" w:rsidRPr="00BF1114" w:rsidRDefault="004B3681"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0.762 </w:t>
            </w:r>
          </w:p>
        </w:tc>
        <w:tc>
          <w:tcPr>
            <w:tcW w:w="0" w:type="auto"/>
            <w:tcBorders>
              <w:top w:val="single" w:sz="8" w:space="0" w:color="auto"/>
            </w:tcBorders>
            <w:hideMark/>
          </w:tcPr>
          <w:p w14:paraId="74CB507F" w14:textId="77777777" w:rsidR="004B3681" w:rsidRPr="00BF1114" w:rsidRDefault="004B3681"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0" w:type="auto"/>
            <w:tcBorders>
              <w:top w:val="single" w:sz="8" w:space="0" w:color="auto"/>
            </w:tcBorders>
            <w:hideMark/>
          </w:tcPr>
          <w:p w14:paraId="36DC1B90" w14:textId="77777777" w:rsidR="004B3681" w:rsidRPr="00BF1114" w:rsidRDefault="004B3681"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tcW w:w="0" w:type="auto"/>
            <w:tcBorders>
              <w:top w:val="single" w:sz="8" w:space="0" w:color="auto"/>
            </w:tcBorders>
            <w:hideMark/>
          </w:tcPr>
          <w:p w14:paraId="351A2DDE" w14:textId="77777777" w:rsidR="004B3681" w:rsidRPr="00BF1114" w:rsidRDefault="004B3681"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4B3681" w:rsidRPr="00BF1114" w14:paraId="3E3ED82F" w14:textId="77777777" w:rsidTr="004B3681">
        <w:tc>
          <w:tcPr>
            <w:cnfStyle w:val="001000000000" w:firstRow="0" w:lastRow="0" w:firstColumn="1" w:lastColumn="0" w:oddVBand="0" w:evenVBand="0" w:oddHBand="0" w:evenHBand="0" w:firstRowFirstColumn="0" w:firstRowLastColumn="0" w:lastRowFirstColumn="0" w:lastRowLastColumn="0"/>
            <w:tcW w:w="0" w:type="auto"/>
            <w:hideMark/>
          </w:tcPr>
          <w:p w14:paraId="6990F9CC" w14:textId="77777777" w:rsidR="004B3681" w:rsidRPr="00BF1114" w:rsidRDefault="004B3681" w:rsidP="007618DF">
            <w:pPr>
              <w:rPr>
                <w:rFonts w:eastAsia="Times New Roman" w:cs="Times New Roman"/>
                <w:bCs w:val="0"/>
                <w:szCs w:val="20"/>
              </w:rPr>
            </w:pPr>
            <w:r w:rsidRPr="00BF1114">
              <w:rPr>
                <w:rFonts w:eastAsia="Times New Roman" w:cs="Times New Roman"/>
                <w:bCs w:val="0"/>
                <w:szCs w:val="20"/>
              </w:rPr>
              <w:t xml:space="preserve">ES_ </w:t>
            </w:r>
          </w:p>
        </w:tc>
        <w:tc>
          <w:tcPr>
            <w:tcW w:w="0" w:type="auto"/>
            <w:hideMark/>
          </w:tcPr>
          <w:p w14:paraId="79CBFBFF" w14:textId="77777777" w:rsidR="004B3681" w:rsidRPr="00BF1114" w:rsidRDefault="004B3681"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0.634 </w:t>
            </w:r>
          </w:p>
        </w:tc>
        <w:tc>
          <w:tcPr>
            <w:tcW w:w="0" w:type="auto"/>
            <w:hideMark/>
          </w:tcPr>
          <w:p w14:paraId="218F4D44" w14:textId="77777777" w:rsidR="004B3681" w:rsidRPr="00BF1114" w:rsidRDefault="004B3681"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0.774 </w:t>
            </w:r>
          </w:p>
        </w:tc>
        <w:tc>
          <w:tcPr>
            <w:tcW w:w="0" w:type="auto"/>
            <w:hideMark/>
          </w:tcPr>
          <w:p w14:paraId="1193E546" w14:textId="77777777" w:rsidR="004B3681" w:rsidRPr="00BF1114" w:rsidRDefault="004B3681"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tcW w:w="0" w:type="auto"/>
            <w:hideMark/>
          </w:tcPr>
          <w:p w14:paraId="71CF716A" w14:textId="77777777" w:rsidR="004B3681" w:rsidRPr="00BF1114" w:rsidRDefault="004B3681"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4B3681" w:rsidRPr="00BF1114" w14:paraId="453CE36D" w14:textId="77777777" w:rsidTr="004B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8537A" w14:textId="77777777" w:rsidR="004B3681" w:rsidRPr="00BF1114" w:rsidRDefault="004B3681" w:rsidP="007618DF">
            <w:pPr>
              <w:rPr>
                <w:rFonts w:eastAsia="Times New Roman" w:cs="Times New Roman"/>
                <w:bCs w:val="0"/>
                <w:szCs w:val="20"/>
              </w:rPr>
            </w:pPr>
            <w:r w:rsidRPr="00BF1114">
              <w:rPr>
                <w:rFonts w:eastAsia="Times New Roman" w:cs="Times New Roman"/>
                <w:bCs w:val="0"/>
                <w:szCs w:val="20"/>
              </w:rPr>
              <w:t xml:space="preserve">SCA_ </w:t>
            </w:r>
          </w:p>
        </w:tc>
        <w:tc>
          <w:tcPr>
            <w:tcW w:w="0" w:type="auto"/>
            <w:hideMark/>
          </w:tcPr>
          <w:p w14:paraId="50A71EF9" w14:textId="77777777" w:rsidR="004B3681" w:rsidRPr="00BF1114" w:rsidRDefault="004B3681"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0.813 </w:t>
            </w:r>
          </w:p>
        </w:tc>
        <w:tc>
          <w:tcPr>
            <w:tcW w:w="0" w:type="auto"/>
            <w:hideMark/>
          </w:tcPr>
          <w:p w14:paraId="365C2461" w14:textId="77777777" w:rsidR="004B3681" w:rsidRPr="00BF1114" w:rsidRDefault="004B3681"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0.661 </w:t>
            </w:r>
          </w:p>
        </w:tc>
        <w:tc>
          <w:tcPr>
            <w:tcW w:w="0" w:type="auto"/>
            <w:hideMark/>
          </w:tcPr>
          <w:p w14:paraId="07EC62A0" w14:textId="77777777" w:rsidR="004B3681" w:rsidRPr="00BF1114" w:rsidRDefault="004B3681"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0.783 </w:t>
            </w:r>
          </w:p>
        </w:tc>
        <w:tc>
          <w:tcPr>
            <w:tcW w:w="0" w:type="auto"/>
            <w:hideMark/>
          </w:tcPr>
          <w:p w14:paraId="12904F3F" w14:textId="77777777" w:rsidR="004B3681" w:rsidRPr="00BF1114" w:rsidRDefault="004B3681"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4B3681" w:rsidRPr="00BF1114" w14:paraId="3363E316" w14:textId="77777777" w:rsidTr="004B3681">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4BEDA7A3" w14:textId="77777777" w:rsidR="004B3681" w:rsidRPr="00BF1114" w:rsidRDefault="004B3681" w:rsidP="007618DF">
            <w:pPr>
              <w:rPr>
                <w:rFonts w:eastAsia="Times New Roman" w:cs="Times New Roman"/>
                <w:bCs w:val="0"/>
                <w:szCs w:val="20"/>
              </w:rPr>
            </w:pPr>
            <w:r w:rsidRPr="00BF1114">
              <w:rPr>
                <w:rFonts w:eastAsia="Times New Roman" w:cs="Times New Roman"/>
                <w:bCs w:val="0"/>
                <w:szCs w:val="20"/>
              </w:rPr>
              <w:t xml:space="preserve">TR_ </w:t>
            </w:r>
          </w:p>
        </w:tc>
        <w:tc>
          <w:tcPr>
            <w:tcW w:w="0" w:type="auto"/>
            <w:tcBorders>
              <w:bottom w:val="single" w:sz="12" w:space="0" w:color="auto"/>
            </w:tcBorders>
            <w:hideMark/>
          </w:tcPr>
          <w:p w14:paraId="7744E649" w14:textId="77777777" w:rsidR="004B3681" w:rsidRPr="00BF1114" w:rsidRDefault="004B3681"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0.793 </w:t>
            </w:r>
          </w:p>
        </w:tc>
        <w:tc>
          <w:tcPr>
            <w:tcW w:w="0" w:type="auto"/>
            <w:tcBorders>
              <w:bottom w:val="single" w:sz="12" w:space="0" w:color="auto"/>
            </w:tcBorders>
            <w:hideMark/>
          </w:tcPr>
          <w:p w14:paraId="29438910" w14:textId="77777777" w:rsidR="004B3681" w:rsidRPr="00BF1114" w:rsidRDefault="004B3681"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0.661 </w:t>
            </w:r>
          </w:p>
        </w:tc>
        <w:tc>
          <w:tcPr>
            <w:tcW w:w="0" w:type="auto"/>
            <w:tcBorders>
              <w:bottom w:val="single" w:sz="12" w:space="0" w:color="auto"/>
            </w:tcBorders>
            <w:hideMark/>
          </w:tcPr>
          <w:p w14:paraId="1EEDFF1C" w14:textId="77777777" w:rsidR="004B3681" w:rsidRPr="00BF1114" w:rsidRDefault="004B3681"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0.888 </w:t>
            </w:r>
          </w:p>
        </w:tc>
        <w:tc>
          <w:tcPr>
            <w:tcW w:w="0" w:type="auto"/>
            <w:tcBorders>
              <w:bottom w:val="single" w:sz="12" w:space="0" w:color="auto"/>
            </w:tcBorders>
            <w:hideMark/>
          </w:tcPr>
          <w:p w14:paraId="2B6095E9" w14:textId="77777777" w:rsidR="004B3681" w:rsidRPr="00BF1114" w:rsidRDefault="004B3681"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0.840 </w:t>
            </w:r>
          </w:p>
        </w:tc>
      </w:tr>
    </w:tbl>
    <w:p w14:paraId="5C20F7B0" w14:textId="77777777" w:rsidR="004B3681" w:rsidRPr="00120553" w:rsidRDefault="004B3681" w:rsidP="004B3681">
      <w:pPr>
        <w:spacing w:line="278" w:lineRule="auto"/>
        <w:jc w:val="center"/>
        <w:rPr>
          <w:rFonts w:eastAsia="Aptos" w:cs="Times New Roman"/>
          <w:kern w:val="2"/>
          <w:szCs w:val="20"/>
          <w14:ligatures w14:val="standardContextual"/>
        </w:rPr>
      </w:pPr>
    </w:p>
    <w:p w14:paraId="50CFDAA3" w14:textId="77777777" w:rsidR="004B3681" w:rsidRPr="0097267E" w:rsidRDefault="004B3681" w:rsidP="004B3681">
      <w:pPr>
        <w:spacing w:line="278" w:lineRule="auto"/>
        <w:rPr>
          <w:rFonts w:eastAsia="Aptos" w:cs="Times New Roman"/>
          <w:b/>
          <w:bCs/>
          <w:iCs/>
          <w:color w:val="C45911" w:themeColor="accent2" w:themeShade="BF"/>
          <w:kern w:val="2"/>
          <w:szCs w:val="20"/>
          <w14:ligatures w14:val="standardContextual"/>
        </w:rPr>
      </w:pPr>
      <w:r w:rsidRPr="0097267E">
        <w:rPr>
          <w:rFonts w:eastAsia="Aptos" w:cs="Times New Roman"/>
          <w:b/>
          <w:bCs/>
          <w:iCs/>
          <w:color w:val="C45911" w:themeColor="accent2" w:themeShade="BF"/>
          <w:kern w:val="2"/>
          <w:szCs w:val="20"/>
          <w14:ligatures w14:val="standardContextual"/>
        </w:rPr>
        <w:t>5.2. Analysis of Structural Models</w:t>
      </w:r>
    </w:p>
    <w:p w14:paraId="51037036" w14:textId="7D3CBBCC" w:rsidR="004B3681" w:rsidRDefault="004B3681"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Our study’s latent variables and constructs are illustrated in Figure 3. </w:t>
      </w:r>
      <w:r w:rsidR="00FC509E">
        <w:rPr>
          <w:rFonts w:eastAsia="Aptos" w:cs="Times New Roman"/>
          <w:kern w:val="2"/>
          <w:szCs w:val="20"/>
          <w14:ligatures w14:val="standardContextual"/>
        </w:rPr>
        <w:t>The</w:t>
      </w:r>
      <w:r w:rsidRPr="00120553">
        <w:rPr>
          <w:rFonts w:eastAsia="Aptos" w:cs="Times New Roman"/>
          <w:kern w:val="2"/>
          <w:szCs w:val="20"/>
          <w14:ligatures w14:val="standardContextual"/>
        </w:rPr>
        <w:t xml:space="preserve"> results from our analysis allow us to explain how each path in the model is found to have a positive and significant effect. It is appropriate and applicable to the aims and purposes of the study due to the unambiguous and definite pattern that is observed throughout the structural model and is claimed to strengthen its validity.</w:t>
      </w:r>
    </w:p>
    <w:p w14:paraId="3472EA14" w14:textId="77777777" w:rsidR="003E5379" w:rsidRPr="00120553" w:rsidRDefault="003E5379" w:rsidP="00A551DA">
      <w:pPr>
        <w:rPr>
          <w:rFonts w:eastAsia="Aptos" w:cs="Times New Roman"/>
          <w:kern w:val="2"/>
          <w:szCs w:val="20"/>
          <w14:ligatures w14:val="standardContextual"/>
        </w:rPr>
      </w:pPr>
    </w:p>
    <w:p w14:paraId="7E157816" w14:textId="77777777" w:rsidR="00017816" w:rsidRDefault="004B3681"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Table 6 demonstrates that AI-Driven Supply Chain Integration has a significant positive correlation with Environmental Sustainability (beta = 0.229, t value = 3.716, p-value = 0.000). There is a positive correlation between AI-Driven Supply Chain Integration and Supply Chain Agility (beta = 0.813, t value = 72.416, p-value = 0.000). Moreover, AI-Driven Supply Chain Integration has a positive relationship with Technological Readiness (beta = 0.793, t value = 56.279, p-value = 0.000). </w:t>
      </w:r>
    </w:p>
    <w:p w14:paraId="3B7BF24C" w14:textId="77777777" w:rsidR="00017816" w:rsidRDefault="00017816" w:rsidP="004B3681">
      <w:pPr>
        <w:spacing w:line="278" w:lineRule="auto"/>
        <w:rPr>
          <w:rFonts w:eastAsia="Aptos" w:cs="Times New Roman"/>
          <w:kern w:val="2"/>
          <w:szCs w:val="20"/>
          <w14:ligatures w14:val="standardContextual"/>
        </w:rPr>
      </w:pPr>
    </w:p>
    <w:p w14:paraId="0BF4AF06" w14:textId="18ACE28D" w:rsidR="004B3681" w:rsidRPr="00120553" w:rsidRDefault="004B3681" w:rsidP="00A551DA">
      <w:pPr>
        <w:rPr>
          <w:rFonts w:eastAsia="Aptos" w:cs="Times New Roman"/>
          <w:kern w:val="2"/>
          <w:szCs w:val="20"/>
          <w14:ligatures w14:val="standardContextual"/>
        </w:rPr>
      </w:pPr>
      <w:r w:rsidRPr="00120553">
        <w:rPr>
          <w:rFonts w:eastAsia="Aptos" w:cs="Times New Roman"/>
          <w:kern w:val="2"/>
          <w:szCs w:val="20"/>
          <w14:ligatures w14:val="standardContextual"/>
        </w:rPr>
        <w:t>Also, Supply Chain Agility contributes to Environmental Sustainability significantly (beta = 0.232, t value = 2.559, p-value = 0.011). In addition, a positive correlation between Technological Readiness and Environmental Sustainability has been established (beta = 0.274, t value = 3.290, p-value = 0.001). The corroborating findings from several model fit indices enhance the model’s resilience and make it more useful for explaining the interwoven relationships required for the research.</w:t>
      </w:r>
    </w:p>
    <w:p w14:paraId="44EB1FC5" w14:textId="77777777" w:rsidR="004B3681" w:rsidRDefault="004B3681" w:rsidP="004B3681">
      <w:pPr>
        <w:spacing w:line="278" w:lineRule="auto"/>
        <w:jc w:val="center"/>
        <w:rPr>
          <w:rFonts w:eastAsia="Aptos" w:cs="Times New Roman"/>
          <w:kern w:val="2"/>
          <w:szCs w:val="20"/>
          <w14:ligatures w14:val="standardContextual"/>
        </w:rPr>
      </w:pPr>
    </w:p>
    <w:p w14:paraId="0B2E90F3" w14:textId="737728A1" w:rsidR="004B3681" w:rsidRDefault="004B3681" w:rsidP="004B3681">
      <w:pPr>
        <w:spacing w:line="278" w:lineRule="auto"/>
        <w:jc w:val="center"/>
        <w:rPr>
          <w:rFonts w:eastAsia="Aptos" w:cs="Times New Roman"/>
          <w:kern w:val="2"/>
          <w:szCs w:val="20"/>
          <w14:ligatures w14:val="standardContextual"/>
        </w:rPr>
      </w:pPr>
      <w:r w:rsidRPr="004B3681">
        <w:rPr>
          <w:rFonts w:eastAsia="Aptos" w:cs="Times New Roman"/>
          <w:b/>
          <w:bCs/>
          <w:noProof/>
          <w:kern w:val="2"/>
          <w:szCs w:val="20"/>
          <w14:ligatures w14:val="standardContextual"/>
        </w:rPr>
        <w:lastRenderedPageBreak/>
        <w:drawing>
          <wp:anchor distT="0" distB="0" distL="114300" distR="114300" simplePos="0" relativeHeight="251661312" behindDoc="0" locked="0" layoutInCell="1" allowOverlap="1" wp14:anchorId="3D5AB8A1" wp14:editId="0AFDDBF1">
            <wp:simplePos x="0" y="0"/>
            <wp:positionH relativeFrom="margin">
              <wp:align>center</wp:align>
            </wp:positionH>
            <wp:positionV relativeFrom="paragraph">
              <wp:posOffset>221403</wp:posOffset>
            </wp:positionV>
            <wp:extent cx="5295900" cy="2781300"/>
            <wp:effectExtent l="0" t="0" r="0" b="0"/>
            <wp:wrapTopAndBottom/>
            <wp:docPr id="3" name="Picture 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2515" name="Picture 4" descr="A diagram of a diagr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2781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B7F97" w14:textId="77777777" w:rsidR="004B3681" w:rsidRDefault="004B3681" w:rsidP="004B3681">
      <w:pPr>
        <w:spacing w:line="278" w:lineRule="auto"/>
        <w:rPr>
          <w:rFonts w:eastAsia="Aptos" w:cs="Times New Roman"/>
          <w:kern w:val="2"/>
          <w:szCs w:val="20"/>
          <w14:ligatures w14:val="standardContextual"/>
        </w:rPr>
      </w:pPr>
    </w:p>
    <w:p w14:paraId="735DA157" w14:textId="1A3987D4" w:rsidR="00375F82" w:rsidRDefault="00375F82" w:rsidP="00375F82">
      <w:pPr>
        <w:spacing w:line="278" w:lineRule="auto"/>
        <w:jc w:val="center"/>
        <w:rPr>
          <w:rFonts w:eastAsia="Aptos" w:cs="Times New Roman"/>
          <w:kern w:val="2"/>
          <w:szCs w:val="20"/>
          <w14:ligatures w14:val="standardContextual"/>
        </w:rPr>
      </w:pPr>
      <w:r w:rsidRPr="004B3681">
        <w:rPr>
          <w:rFonts w:eastAsia="Aptos" w:cs="Times New Roman"/>
          <w:b/>
          <w:bCs/>
          <w:kern w:val="2"/>
          <w:szCs w:val="20"/>
          <w14:ligatures w14:val="standardContextual"/>
        </w:rPr>
        <w:t>Figure 3</w:t>
      </w:r>
      <w:r w:rsidR="0090192B">
        <w:rPr>
          <w:rFonts w:eastAsia="Aptos" w:cs="Times New Roman"/>
          <w:b/>
          <w:bCs/>
          <w:kern w:val="2"/>
          <w:szCs w:val="20"/>
          <w14:ligatures w14:val="standardContextual"/>
        </w:rPr>
        <w:t>:</w:t>
      </w:r>
      <w:r w:rsidRPr="00120553">
        <w:rPr>
          <w:rFonts w:eastAsia="Aptos" w:cs="Times New Roman"/>
          <w:kern w:val="2"/>
          <w:szCs w:val="20"/>
          <w14:ligatures w14:val="standardContextual"/>
        </w:rPr>
        <w:t xml:space="preserve"> </w:t>
      </w:r>
      <w:r>
        <w:rPr>
          <w:rFonts w:eastAsia="Aptos" w:cs="Times New Roman"/>
          <w:kern w:val="2"/>
          <w:szCs w:val="20"/>
          <w14:ligatures w14:val="standardContextual"/>
        </w:rPr>
        <w:t>S</w:t>
      </w:r>
      <w:r w:rsidRPr="00120553">
        <w:rPr>
          <w:rFonts w:eastAsia="Aptos" w:cs="Times New Roman"/>
          <w:kern w:val="2"/>
          <w:szCs w:val="20"/>
          <w14:ligatures w14:val="standardContextual"/>
        </w:rPr>
        <w:t>tructural model</w:t>
      </w:r>
      <w:r>
        <w:rPr>
          <w:rFonts w:eastAsia="Aptos" w:cs="Times New Roman"/>
          <w:kern w:val="2"/>
          <w:szCs w:val="20"/>
          <w14:ligatures w14:val="standardContextual"/>
        </w:rPr>
        <w:t xml:space="preserve"> of selected variables</w:t>
      </w:r>
    </w:p>
    <w:p w14:paraId="50245EBF" w14:textId="77777777" w:rsidR="00375F82" w:rsidRDefault="00375F82" w:rsidP="00375F82">
      <w:pPr>
        <w:spacing w:line="278" w:lineRule="auto"/>
        <w:jc w:val="center"/>
        <w:rPr>
          <w:rFonts w:eastAsia="Aptos" w:cs="Times New Roman"/>
          <w:kern w:val="2"/>
          <w:szCs w:val="20"/>
          <w14:ligatures w14:val="standardContextual"/>
        </w:rPr>
      </w:pPr>
    </w:p>
    <w:p w14:paraId="6A0B487A" w14:textId="77777777" w:rsidR="00424237" w:rsidRDefault="004B3681" w:rsidP="00A551DA">
      <w:pPr>
        <w:rPr>
          <w:rFonts w:eastAsia="Aptos" w:cs="Times New Roman"/>
          <w:kern w:val="2"/>
          <w:szCs w:val="20"/>
          <w14:ligatures w14:val="standardContextual"/>
        </w:rPr>
      </w:pPr>
      <w:r w:rsidRPr="00120553">
        <w:rPr>
          <w:rFonts w:eastAsia="Aptos" w:cs="Times New Roman"/>
          <w:kern w:val="2"/>
          <w:szCs w:val="20"/>
          <w14:ligatures w14:val="standardContextual"/>
        </w:rPr>
        <w:t>Table 5 displays the R² values, the coefficient of determination, and the adjusted R² values for Environmental Sustainability (ES_), Supply Chain Agility (SCA_), and Technological Readiness (TR_) calculated with Smart PLS. These measures represent the degree of variability explained by the model. For ES_, R²=0.480 (adjusted R²=0.476) shows almost one-half or 48% of the AI-driven supply chain integration within its SCA_ and TR_ mediators overfed AI sustainability over environmental sustainability.</w:t>
      </w:r>
    </w:p>
    <w:p w14:paraId="63E1F385" w14:textId="77777777" w:rsidR="00424237" w:rsidRDefault="00424237" w:rsidP="00A551DA">
      <w:pPr>
        <w:rPr>
          <w:rFonts w:eastAsia="Aptos" w:cs="Times New Roman"/>
          <w:kern w:val="2"/>
          <w:szCs w:val="20"/>
          <w14:ligatures w14:val="standardContextual"/>
        </w:rPr>
      </w:pPr>
    </w:p>
    <w:p w14:paraId="6211EE4F" w14:textId="77777777" w:rsidR="00424237" w:rsidRDefault="004B3681"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 SCA_ exhibits the greatest explanatory value (R²=0.662, adjusted R²=0.661)</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meaning that 66% of the AI integration’s impact on the sustainability of supply chain agility is observed. Likewise, TR_ (R²=0.628, adjusted R²=0.627) also contends that 63% of the variance in technological readiness is accounted for</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which strengthens his mediating position.</w:t>
      </w:r>
    </w:p>
    <w:p w14:paraId="6C53CA2E" w14:textId="77777777" w:rsidR="00424237" w:rsidRDefault="00424237" w:rsidP="00A551DA">
      <w:pPr>
        <w:rPr>
          <w:rFonts w:eastAsia="Aptos" w:cs="Times New Roman"/>
          <w:kern w:val="2"/>
          <w:szCs w:val="20"/>
          <w14:ligatures w14:val="standardContextual"/>
        </w:rPr>
      </w:pPr>
    </w:p>
    <w:p w14:paraId="2458C05D" w14:textId="64F028A2" w:rsidR="0097267E" w:rsidRDefault="004B3681"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 The pronounced high R² values </w:t>
      </w:r>
      <w:r w:rsidR="00FC509E">
        <w:rPr>
          <w:rFonts w:eastAsia="Aptos" w:cs="Times New Roman"/>
          <w:kern w:val="2"/>
          <w:szCs w:val="20"/>
          <w14:ligatures w14:val="standardContextual"/>
        </w:rPr>
        <w:t>about</w:t>
      </w:r>
      <w:r w:rsidRPr="00120553">
        <w:rPr>
          <w:rFonts w:eastAsia="Aptos" w:cs="Times New Roman"/>
          <w:kern w:val="2"/>
          <w:szCs w:val="20"/>
          <w14:ligatures w14:val="standardContextual"/>
        </w:rPr>
        <w:t xml:space="preserve"> SCA_ and TR_ emphasize the profound relationship of these constructs to AI integration</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while the relatively lower R² for ES_ denotes that other exogenous variables probably affect environmental sustainability to a greater degree within the RMG sector of Bangladesh</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which is consistent with the mediation focus of the study.</w:t>
      </w:r>
    </w:p>
    <w:p w14:paraId="0B6FACB0" w14:textId="77777777" w:rsidR="00FC509E" w:rsidRDefault="00FC509E" w:rsidP="004B3681">
      <w:pPr>
        <w:spacing w:line="278" w:lineRule="auto"/>
        <w:rPr>
          <w:rFonts w:eastAsia="Aptos" w:cs="Times New Roman"/>
          <w:kern w:val="2"/>
          <w:szCs w:val="20"/>
          <w14:ligatures w14:val="standardContextual"/>
        </w:rPr>
      </w:pPr>
    </w:p>
    <w:p w14:paraId="13FB95DA" w14:textId="5FC489B9" w:rsidR="0097267E" w:rsidRPr="00120553" w:rsidRDefault="0097267E" w:rsidP="0097267E">
      <w:pPr>
        <w:spacing w:line="278" w:lineRule="auto"/>
        <w:jc w:val="center"/>
        <w:rPr>
          <w:rFonts w:eastAsia="Aptos" w:cs="Times New Roman"/>
          <w:kern w:val="2"/>
          <w:szCs w:val="20"/>
          <w14:ligatures w14:val="standardContextual"/>
        </w:rPr>
      </w:pPr>
      <w:r w:rsidRPr="0097267E">
        <w:rPr>
          <w:rFonts w:eastAsia="Aptos" w:cs="Times New Roman"/>
          <w:b/>
          <w:bCs/>
          <w:kern w:val="2"/>
          <w:szCs w:val="20"/>
          <w14:ligatures w14:val="standardContextual"/>
        </w:rPr>
        <w:t>Table 5</w:t>
      </w:r>
      <w:r w:rsidR="0090192B">
        <w:rPr>
          <w:rFonts w:eastAsia="Aptos" w:cs="Times New Roman"/>
          <w:b/>
          <w:bCs/>
          <w:kern w:val="2"/>
          <w:szCs w:val="20"/>
          <w14:ligatures w14:val="standardContextual"/>
        </w:rPr>
        <w:t>:</w:t>
      </w:r>
      <w:r w:rsidRPr="00120553">
        <w:rPr>
          <w:rFonts w:eastAsia="Aptos" w:cs="Times New Roman"/>
          <w:kern w:val="2"/>
          <w:szCs w:val="20"/>
          <w14:ligatures w14:val="standardContextual"/>
        </w:rPr>
        <w:t xml:space="preserve"> </w:t>
      </w:r>
      <w:r>
        <w:rPr>
          <w:rFonts w:eastAsia="Aptos" w:cs="Times New Roman"/>
          <w:kern w:val="2"/>
          <w:szCs w:val="20"/>
          <w14:ligatures w14:val="standardContextual"/>
        </w:rPr>
        <w:t>R-squared</w:t>
      </w:r>
      <w:r w:rsidRPr="00120553">
        <w:rPr>
          <w:rFonts w:eastAsia="Aptos" w:cs="Times New Roman"/>
          <w:kern w:val="2"/>
          <w:szCs w:val="20"/>
          <w14:ligatures w14:val="standardContextual"/>
        </w:rPr>
        <w:t xml:space="preserve"> and </w:t>
      </w:r>
      <w:r>
        <w:rPr>
          <w:rFonts w:eastAsia="Aptos" w:cs="Times New Roman"/>
          <w:kern w:val="2"/>
          <w:szCs w:val="20"/>
          <w14:ligatures w14:val="standardContextual"/>
        </w:rPr>
        <w:t>R-squared</w:t>
      </w:r>
      <w:r w:rsidRPr="00120553">
        <w:rPr>
          <w:rFonts w:eastAsia="Aptos" w:cs="Times New Roman"/>
          <w:kern w:val="2"/>
          <w:szCs w:val="20"/>
          <w14:ligatures w14:val="standardContextual"/>
        </w:rPr>
        <w:t xml:space="preserve"> adjusted</w:t>
      </w:r>
    </w:p>
    <w:tbl>
      <w:tblPr>
        <w:tblStyle w:val="PlainTable4"/>
        <w:tblW w:w="5000" w:type="pct"/>
        <w:tblLook w:val="04A0" w:firstRow="1" w:lastRow="0" w:firstColumn="1" w:lastColumn="0" w:noHBand="0" w:noVBand="1"/>
      </w:tblPr>
      <w:tblGrid>
        <w:gridCol w:w="1975"/>
        <w:gridCol w:w="3838"/>
        <w:gridCol w:w="3933"/>
      </w:tblGrid>
      <w:tr w:rsidR="0097267E" w:rsidRPr="00BF1114" w14:paraId="506080E7" w14:textId="77777777" w:rsidTr="00972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 w:type="pct"/>
            <w:tcBorders>
              <w:top w:val="single" w:sz="12" w:space="0" w:color="auto"/>
              <w:bottom w:val="single" w:sz="8" w:space="0" w:color="auto"/>
            </w:tcBorders>
            <w:hideMark/>
          </w:tcPr>
          <w:p w14:paraId="35B09A93" w14:textId="77777777" w:rsidR="0097267E" w:rsidRPr="00BF1114" w:rsidRDefault="0097267E" w:rsidP="007618DF">
            <w:pPr>
              <w:rPr>
                <w:rFonts w:eastAsia="Times New Roman" w:cs="Times New Roman"/>
                <w:szCs w:val="20"/>
              </w:rPr>
            </w:pPr>
            <w:r w:rsidRPr="00BF1114">
              <w:rPr>
                <w:rFonts w:eastAsia="Times New Roman" w:cs="Times New Roman"/>
                <w:szCs w:val="20"/>
              </w:rPr>
              <w:t>Items</w:t>
            </w:r>
          </w:p>
        </w:tc>
        <w:tc>
          <w:tcPr>
            <w:tcW w:w="1969" w:type="pct"/>
            <w:tcBorders>
              <w:top w:val="single" w:sz="12" w:space="0" w:color="auto"/>
              <w:bottom w:val="single" w:sz="8" w:space="0" w:color="auto"/>
            </w:tcBorders>
            <w:hideMark/>
          </w:tcPr>
          <w:p w14:paraId="5326B83B"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R-square </w:t>
            </w:r>
          </w:p>
        </w:tc>
        <w:tc>
          <w:tcPr>
            <w:tcW w:w="2018" w:type="pct"/>
            <w:tcBorders>
              <w:top w:val="single" w:sz="12" w:space="0" w:color="auto"/>
              <w:bottom w:val="single" w:sz="8" w:space="0" w:color="auto"/>
            </w:tcBorders>
            <w:hideMark/>
          </w:tcPr>
          <w:p w14:paraId="0F7681DC"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R-square adjusted </w:t>
            </w:r>
          </w:p>
        </w:tc>
      </w:tr>
      <w:tr w:rsidR="0097267E" w:rsidRPr="00BF1114" w14:paraId="4EF09312" w14:textId="77777777" w:rsidTr="00972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 w:type="pct"/>
            <w:tcBorders>
              <w:top w:val="single" w:sz="8" w:space="0" w:color="auto"/>
            </w:tcBorders>
            <w:hideMark/>
          </w:tcPr>
          <w:p w14:paraId="213E0FA9"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ES_ </w:t>
            </w:r>
          </w:p>
        </w:tc>
        <w:tc>
          <w:tcPr>
            <w:tcW w:w="1969" w:type="pct"/>
            <w:tcBorders>
              <w:top w:val="single" w:sz="8" w:space="0" w:color="auto"/>
            </w:tcBorders>
            <w:hideMark/>
          </w:tcPr>
          <w:p w14:paraId="64EB95E4"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0.480 </w:t>
            </w:r>
          </w:p>
        </w:tc>
        <w:tc>
          <w:tcPr>
            <w:tcW w:w="2018" w:type="pct"/>
            <w:tcBorders>
              <w:top w:val="single" w:sz="8" w:space="0" w:color="auto"/>
            </w:tcBorders>
            <w:hideMark/>
          </w:tcPr>
          <w:p w14:paraId="3CE24151"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0.476 </w:t>
            </w:r>
          </w:p>
        </w:tc>
      </w:tr>
      <w:tr w:rsidR="0097267E" w:rsidRPr="00BF1114" w14:paraId="2F05B8A9" w14:textId="77777777" w:rsidTr="0097267E">
        <w:tc>
          <w:tcPr>
            <w:cnfStyle w:val="001000000000" w:firstRow="0" w:lastRow="0" w:firstColumn="1" w:lastColumn="0" w:oddVBand="0" w:evenVBand="0" w:oddHBand="0" w:evenHBand="0" w:firstRowFirstColumn="0" w:firstRowLastColumn="0" w:lastRowFirstColumn="0" w:lastRowLastColumn="0"/>
            <w:tcW w:w="1013" w:type="pct"/>
            <w:hideMark/>
          </w:tcPr>
          <w:p w14:paraId="7E4700C9"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SCA_ </w:t>
            </w:r>
          </w:p>
        </w:tc>
        <w:tc>
          <w:tcPr>
            <w:tcW w:w="1969" w:type="pct"/>
            <w:hideMark/>
          </w:tcPr>
          <w:p w14:paraId="04F62AC4"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0.662 </w:t>
            </w:r>
          </w:p>
        </w:tc>
        <w:tc>
          <w:tcPr>
            <w:tcW w:w="2018" w:type="pct"/>
            <w:hideMark/>
          </w:tcPr>
          <w:p w14:paraId="72D34B89"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0.661 </w:t>
            </w:r>
          </w:p>
        </w:tc>
      </w:tr>
      <w:tr w:rsidR="0097267E" w:rsidRPr="00BF1114" w14:paraId="18B93F82" w14:textId="77777777" w:rsidTr="00972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 w:type="pct"/>
            <w:tcBorders>
              <w:bottom w:val="single" w:sz="12" w:space="0" w:color="auto"/>
            </w:tcBorders>
            <w:hideMark/>
          </w:tcPr>
          <w:p w14:paraId="098A08D5"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TR_ </w:t>
            </w:r>
          </w:p>
        </w:tc>
        <w:tc>
          <w:tcPr>
            <w:tcW w:w="1969" w:type="pct"/>
            <w:tcBorders>
              <w:bottom w:val="single" w:sz="12" w:space="0" w:color="auto"/>
            </w:tcBorders>
            <w:hideMark/>
          </w:tcPr>
          <w:p w14:paraId="0F819A44"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0.628 </w:t>
            </w:r>
          </w:p>
        </w:tc>
        <w:tc>
          <w:tcPr>
            <w:tcW w:w="2018" w:type="pct"/>
            <w:tcBorders>
              <w:bottom w:val="single" w:sz="12" w:space="0" w:color="auto"/>
            </w:tcBorders>
            <w:hideMark/>
          </w:tcPr>
          <w:p w14:paraId="7A07CFBB"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0.627 </w:t>
            </w:r>
          </w:p>
        </w:tc>
      </w:tr>
    </w:tbl>
    <w:p w14:paraId="15C61A66" w14:textId="77777777" w:rsidR="0097267E" w:rsidRPr="00120553" w:rsidRDefault="0097267E" w:rsidP="0097267E">
      <w:pPr>
        <w:spacing w:line="278" w:lineRule="auto"/>
        <w:rPr>
          <w:rFonts w:eastAsia="Aptos" w:cs="Times New Roman"/>
          <w:kern w:val="2"/>
          <w:szCs w:val="20"/>
          <w14:ligatures w14:val="standardContextual"/>
        </w:rPr>
      </w:pPr>
    </w:p>
    <w:p w14:paraId="6BEF690F" w14:textId="04BB805D" w:rsidR="0097267E" w:rsidRPr="00120553" w:rsidRDefault="0097267E" w:rsidP="0097267E">
      <w:pPr>
        <w:spacing w:line="278" w:lineRule="auto"/>
        <w:jc w:val="center"/>
        <w:rPr>
          <w:rFonts w:eastAsia="Aptos" w:cs="Times New Roman"/>
          <w:kern w:val="2"/>
          <w:szCs w:val="20"/>
          <w14:ligatures w14:val="standardContextual"/>
        </w:rPr>
      </w:pPr>
      <w:r w:rsidRPr="0097267E">
        <w:rPr>
          <w:rFonts w:eastAsia="Aptos" w:cs="Times New Roman"/>
          <w:b/>
          <w:bCs/>
          <w:kern w:val="2"/>
          <w:szCs w:val="20"/>
          <w14:ligatures w14:val="standardContextual"/>
        </w:rPr>
        <w:t>Table 6</w:t>
      </w:r>
      <w:r w:rsidR="0090192B">
        <w:rPr>
          <w:rFonts w:eastAsia="Aptos" w:cs="Times New Roman"/>
          <w:b/>
          <w:bCs/>
          <w:kern w:val="2"/>
          <w:szCs w:val="20"/>
          <w14:ligatures w14:val="standardContextual"/>
        </w:rPr>
        <w:t>:</w:t>
      </w:r>
      <w:r>
        <w:rPr>
          <w:rFonts w:eastAsia="Aptos" w:cs="Times New Roman"/>
          <w:kern w:val="2"/>
          <w:szCs w:val="20"/>
          <w14:ligatures w14:val="standardContextual"/>
        </w:rPr>
        <w:t xml:space="preserve"> </w:t>
      </w:r>
      <w:r w:rsidRPr="00120553">
        <w:rPr>
          <w:rFonts w:eastAsia="Aptos" w:cs="Times New Roman"/>
          <w:kern w:val="2"/>
          <w:szCs w:val="20"/>
          <w14:ligatures w14:val="standardContextual"/>
        </w:rPr>
        <w:t>For direct effect</w:t>
      </w:r>
    </w:p>
    <w:tbl>
      <w:tblPr>
        <w:tblStyle w:val="PlainTable4"/>
        <w:tblW w:w="5010" w:type="pct"/>
        <w:tblLook w:val="04A0" w:firstRow="1" w:lastRow="0" w:firstColumn="1" w:lastColumn="0" w:noHBand="0" w:noVBand="1"/>
      </w:tblPr>
      <w:tblGrid>
        <w:gridCol w:w="2264"/>
        <w:gridCol w:w="994"/>
        <w:gridCol w:w="1660"/>
        <w:gridCol w:w="1594"/>
        <w:gridCol w:w="1224"/>
        <w:gridCol w:w="1038"/>
        <w:gridCol w:w="991"/>
      </w:tblGrid>
      <w:tr w:rsidR="0097267E" w:rsidRPr="00BF1114" w14:paraId="1F4E14CD" w14:textId="77777777" w:rsidTr="0097267E">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97" w:type="pct"/>
            <w:tcBorders>
              <w:top w:val="single" w:sz="12" w:space="0" w:color="auto"/>
              <w:bottom w:val="single" w:sz="8" w:space="0" w:color="auto"/>
            </w:tcBorders>
            <w:hideMark/>
          </w:tcPr>
          <w:p w14:paraId="5A9E5285" w14:textId="77777777" w:rsidR="0097267E" w:rsidRPr="00BF1114" w:rsidRDefault="0097267E" w:rsidP="007618DF">
            <w:pPr>
              <w:rPr>
                <w:rFonts w:eastAsia="Times New Roman" w:cs="Times New Roman"/>
                <w:szCs w:val="20"/>
              </w:rPr>
            </w:pPr>
            <w:r w:rsidRPr="00BF1114">
              <w:rPr>
                <w:rFonts w:eastAsia="Times New Roman" w:cs="Times New Roman"/>
                <w:szCs w:val="20"/>
              </w:rPr>
              <w:t>Path</w:t>
            </w:r>
          </w:p>
        </w:tc>
        <w:tc>
          <w:tcPr>
            <w:tcW w:w="282" w:type="pct"/>
            <w:tcBorders>
              <w:top w:val="single" w:sz="12" w:space="0" w:color="auto"/>
              <w:bottom w:val="single" w:sz="8" w:space="0" w:color="auto"/>
            </w:tcBorders>
            <w:hideMark/>
          </w:tcPr>
          <w:p w14:paraId="06D08BB7"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Original sample (O) </w:t>
            </w:r>
          </w:p>
        </w:tc>
        <w:tc>
          <w:tcPr>
            <w:tcW w:w="888" w:type="pct"/>
            <w:tcBorders>
              <w:top w:val="single" w:sz="12" w:space="0" w:color="auto"/>
              <w:bottom w:val="single" w:sz="8" w:space="0" w:color="auto"/>
            </w:tcBorders>
            <w:hideMark/>
          </w:tcPr>
          <w:p w14:paraId="098CA554"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Standard deviation (STDEV) </w:t>
            </w:r>
          </w:p>
        </w:tc>
        <w:tc>
          <w:tcPr>
            <w:tcW w:w="854" w:type="pct"/>
            <w:tcBorders>
              <w:top w:val="single" w:sz="12" w:space="0" w:color="auto"/>
              <w:bottom w:val="single" w:sz="8" w:space="0" w:color="auto"/>
            </w:tcBorders>
            <w:hideMark/>
          </w:tcPr>
          <w:p w14:paraId="73AF43AE"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T statistics (|O/STDEV|) </w:t>
            </w:r>
          </w:p>
        </w:tc>
        <w:tc>
          <w:tcPr>
            <w:tcW w:w="664" w:type="pct"/>
            <w:tcBorders>
              <w:top w:val="single" w:sz="12" w:space="0" w:color="auto"/>
              <w:bottom w:val="single" w:sz="8" w:space="0" w:color="auto"/>
            </w:tcBorders>
            <w:hideMark/>
          </w:tcPr>
          <w:p w14:paraId="25C464F2"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P values </w:t>
            </w:r>
          </w:p>
        </w:tc>
        <w:tc>
          <w:tcPr>
            <w:tcW w:w="569" w:type="pct"/>
            <w:tcBorders>
              <w:top w:val="single" w:sz="12" w:space="0" w:color="auto"/>
              <w:bottom w:val="single" w:sz="8" w:space="0" w:color="auto"/>
            </w:tcBorders>
          </w:tcPr>
          <w:p w14:paraId="7A615FC4"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2.5% </w:t>
            </w:r>
          </w:p>
        </w:tc>
        <w:tc>
          <w:tcPr>
            <w:tcW w:w="545" w:type="pct"/>
            <w:tcBorders>
              <w:top w:val="single" w:sz="12" w:space="0" w:color="auto"/>
              <w:bottom w:val="single" w:sz="8" w:space="0" w:color="auto"/>
            </w:tcBorders>
          </w:tcPr>
          <w:p w14:paraId="04A3E9D4"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97.5% </w:t>
            </w:r>
          </w:p>
        </w:tc>
      </w:tr>
      <w:tr w:rsidR="0097267E" w:rsidRPr="00BF1114" w14:paraId="7FC65FFC" w14:textId="77777777" w:rsidTr="0097267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97" w:type="pct"/>
            <w:tcBorders>
              <w:top w:val="single" w:sz="8" w:space="0" w:color="auto"/>
            </w:tcBorders>
            <w:hideMark/>
          </w:tcPr>
          <w:p w14:paraId="1180CB73"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AI-SCI_ -&gt; ES_ </w:t>
            </w:r>
          </w:p>
        </w:tc>
        <w:tc>
          <w:tcPr>
            <w:tcW w:w="282" w:type="pct"/>
            <w:tcBorders>
              <w:top w:val="single" w:sz="8" w:space="0" w:color="auto"/>
            </w:tcBorders>
            <w:hideMark/>
          </w:tcPr>
          <w:p w14:paraId="1509BF7D"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0.229 </w:t>
            </w:r>
          </w:p>
        </w:tc>
        <w:tc>
          <w:tcPr>
            <w:tcW w:w="888" w:type="pct"/>
            <w:tcBorders>
              <w:top w:val="single" w:sz="8" w:space="0" w:color="auto"/>
            </w:tcBorders>
            <w:hideMark/>
          </w:tcPr>
          <w:p w14:paraId="3203E78B"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0.062 </w:t>
            </w:r>
          </w:p>
        </w:tc>
        <w:tc>
          <w:tcPr>
            <w:tcW w:w="854" w:type="pct"/>
            <w:tcBorders>
              <w:top w:val="single" w:sz="8" w:space="0" w:color="auto"/>
            </w:tcBorders>
            <w:hideMark/>
          </w:tcPr>
          <w:p w14:paraId="5AD67DC3"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3.716 </w:t>
            </w:r>
          </w:p>
        </w:tc>
        <w:tc>
          <w:tcPr>
            <w:tcW w:w="664" w:type="pct"/>
            <w:tcBorders>
              <w:top w:val="single" w:sz="8" w:space="0" w:color="auto"/>
            </w:tcBorders>
            <w:hideMark/>
          </w:tcPr>
          <w:p w14:paraId="71A37981"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0.000 </w:t>
            </w:r>
          </w:p>
        </w:tc>
        <w:tc>
          <w:tcPr>
            <w:tcW w:w="569" w:type="pct"/>
            <w:tcBorders>
              <w:top w:val="single" w:sz="8" w:space="0" w:color="auto"/>
            </w:tcBorders>
          </w:tcPr>
          <w:p w14:paraId="277937A3"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0.107 </w:t>
            </w:r>
          </w:p>
        </w:tc>
        <w:tc>
          <w:tcPr>
            <w:tcW w:w="545" w:type="pct"/>
            <w:tcBorders>
              <w:top w:val="single" w:sz="8" w:space="0" w:color="auto"/>
            </w:tcBorders>
          </w:tcPr>
          <w:p w14:paraId="70581FBC"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0.346 </w:t>
            </w:r>
          </w:p>
        </w:tc>
      </w:tr>
      <w:tr w:rsidR="0097267E" w:rsidRPr="00BF1114" w14:paraId="0BC816D7" w14:textId="77777777" w:rsidTr="0097267E">
        <w:trPr>
          <w:trHeight w:val="50"/>
        </w:trPr>
        <w:tc>
          <w:tcPr>
            <w:cnfStyle w:val="001000000000" w:firstRow="0" w:lastRow="0" w:firstColumn="1" w:lastColumn="0" w:oddVBand="0" w:evenVBand="0" w:oddHBand="0" w:evenHBand="0" w:firstRowFirstColumn="0" w:firstRowLastColumn="0" w:lastRowFirstColumn="0" w:lastRowLastColumn="0"/>
            <w:tcW w:w="1197" w:type="pct"/>
            <w:hideMark/>
          </w:tcPr>
          <w:p w14:paraId="785D4DF0"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AI-SCI_ -&gt; SCA_ </w:t>
            </w:r>
          </w:p>
        </w:tc>
        <w:tc>
          <w:tcPr>
            <w:tcW w:w="282" w:type="pct"/>
            <w:hideMark/>
          </w:tcPr>
          <w:p w14:paraId="2E83F915"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0.813 </w:t>
            </w:r>
          </w:p>
        </w:tc>
        <w:tc>
          <w:tcPr>
            <w:tcW w:w="888" w:type="pct"/>
            <w:hideMark/>
          </w:tcPr>
          <w:p w14:paraId="17F76F13"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0.011 </w:t>
            </w:r>
          </w:p>
        </w:tc>
        <w:tc>
          <w:tcPr>
            <w:tcW w:w="854" w:type="pct"/>
            <w:hideMark/>
          </w:tcPr>
          <w:p w14:paraId="0A6CFA95"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72.416 </w:t>
            </w:r>
          </w:p>
        </w:tc>
        <w:tc>
          <w:tcPr>
            <w:tcW w:w="664" w:type="pct"/>
            <w:hideMark/>
          </w:tcPr>
          <w:p w14:paraId="11D5CEF8"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0.000 </w:t>
            </w:r>
          </w:p>
        </w:tc>
        <w:tc>
          <w:tcPr>
            <w:tcW w:w="569" w:type="pct"/>
          </w:tcPr>
          <w:p w14:paraId="5271B358"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0.793 </w:t>
            </w:r>
          </w:p>
        </w:tc>
        <w:tc>
          <w:tcPr>
            <w:tcW w:w="545" w:type="pct"/>
          </w:tcPr>
          <w:p w14:paraId="6EFA1A19"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0.837 </w:t>
            </w:r>
          </w:p>
        </w:tc>
      </w:tr>
      <w:tr w:rsidR="0097267E" w:rsidRPr="00BF1114" w14:paraId="37EED68C" w14:textId="77777777" w:rsidTr="0097267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97" w:type="pct"/>
            <w:hideMark/>
          </w:tcPr>
          <w:p w14:paraId="1620DCFF"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AI-SCI_ -&gt; TR_ </w:t>
            </w:r>
          </w:p>
        </w:tc>
        <w:tc>
          <w:tcPr>
            <w:tcW w:w="282" w:type="pct"/>
            <w:hideMark/>
          </w:tcPr>
          <w:p w14:paraId="05CAE088"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0.793 </w:t>
            </w:r>
          </w:p>
        </w:tc>
        <w:tc>
          <w:tcPr>
            <w:tcW w:w="888" w:type="pct"/>
            <w:hideMark/>
          </w:tcPr>
          <w:p w14:paraId="5314763B"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0.014 </w:t>
            </w:r>
          </w:p>
        </w:tc>
        <w:tc>
          <w:tcPr>
            <w:tcW w:w="854" w:type="pct"/>
            <w:hideMark/>
          </w:tcPr>
          <w:p w14:paraId="53089172"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56.279 </w:t>
            </w:r>
          </w:p>
        </w:tc>
        <w:tc>
          <w:tcPr>
            <w:tcW w:w="664" w:type="pct"/>
            <w:hideMark/>
          </w:tcPr>
          <w:p w14:paraId="0AC09E5B"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0.000 </w:t>
            </w:r>
          </w:p>
        </w:tc>
        <w:tc>
          <w:tcPr>
            <w:tcW w:w="569" w:type="pct"/>
          </w:tcPr>
          <w:p w14:paraId="1A87B7AB"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0.765 </w:t>
            </w:r>
          </w:p>
        </w:tc>
        <w:tc>
          <w:tcPr>
            <w:tcW w:w="545" w:type="pct"/>
          </w:tcPr>
          <w:p w14:paraId="639DCDD9"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0.821 </w:t>
            </w:r>
          </w:p>
        </w:tc>
      </w:tr>
      <w:tr w:rsidR="0097267E" w:rsidRPr="00BF1114" w14:paraId="70DA7A84" w14:textId="77777777" w:rsidTr="0097267E">
        <w:trPr>
          <w:trHeight w:val="105"/>
        </w:trPr>
        <w:tc>
          <w:tcPr>
            <w:cnfStyle w:val="001000000000" w:firstRow="0" w:lastRow="0" w:firstColumn="1" w:lastColumn="0" w:oddVBand="0" w:evenVBand="0" w:oddHBand="0" w:evenHBand="0" w:firstRowFirstColumn="0" w:firstRowLastColumn="0" w:lastRowFirstColumn="0" w:lastRowLastColumn="0"/>
            <w:tcW w:w="1197" w:type="pct"/>
            <w:hideMark/>
          </w:tcPr>
          <w:p w14:paraId="60A99518"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lastRenderedPageBreak/>
              <w:t xml:space="preserve">SCA_ -&gt; ES_ </w:t>
            </w:r>
          </w:p>
        </w:tc>
        <w:tc>
          <w:tcPr>
            <w:tcW w:w="282" w:type="pct"/>
            <w:hideMark/>
          </w:tcPr>
          <w:p w14:paraId="64C9AA8F"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0.232 </w:t>
            </w:r>
          </w:p>
        </w:tc>
        <w:tc>
          <w:tcPr>
            <w:tcW w:w="888" w:type="pct"/>
            <w:hideMark/>
          </w:tcPr>
          <w:p w14:paraId="27A11EEB"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0.091 </w:t>
            </w:r>
          </w:p>
        </w:tc>
        <w:tc>
          <w:tcPr>
            <w:tcW w:w="854" w:type="pct"/>
            <w:hideMark/>
          </w:tcPr>
          <w:p w14:paraId="6B2BF795"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2.559 </w:t>
            </w:r>
          </w:p>
        </w:tc>
        <w:tc>
          <w:tcPr>
            <w:tcW w:w="664" w:type="pct"/>
            <w:hideMark/>
          </w:tcPr>
          <w:p w14:paraId="10C603A5"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0.011 </w:t>
            </w:r>
          </w:p>
        </w:tc>
        <w:tc>
          <w:tcPr>
            <w:tcW w:w="569" w:type="pct"/>
          </w:tcPr>
          <w:p w14:paraId="178695CE"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0.053 </w:t>
            </w:r>
          </w:p>
        </w:tc>
        <w:tc>
          <w:tcPr>
            <w:tcW w:w="545" w:type="pct"/>
          </w:tcPr>
          <w:p w14:paraId="212DB08B"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0.411 </w:t>
            </w:r>
          </w:p>
        </w:tc>
      </w:tr>
      <w:tr w:rsidR="0097267E" w:rsidRPr="00BF1114" w14:paraId="5591D526" w14:textId="77777777" w:rsidTr="0097267E">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197" w:type="pct"/>
            <w:tcBorders>
              <w:bottom w:val="single" w:sz="12" w:space="0" w:color="auto"/>
            </w:tcBorders>
            <w:hideMark/>
          </w:tcPr>
          <w:p w14:paraId="089B18BC"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TR_ -&gt; ES_ </w:t>
            </w:r>
          </w:p>
        </w:tc>
        <w:tc>
          <w:tcPr>
            <w:tcW w:w="282" w:type="pct"/>
            <w:tcBorders>
              <w:bottom w:val="single" w:sz="12" w:space="0" w:color="auto"/>
            </w:tcBorders>
            <w:hideMark/>
          </w:tcPr>
          <w:p w14:paraId="4110A4A9"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0.274 </w:t>
            </w:r>
          </w:p>
        </w:tc>
        <w:tc>
          <w:tcPr>
            <w:tcW w:w="888" w:type="pct"/>
            <w:tcBorders>
              <w:bottom w:val="single" w:sz="12" w:space="0" w:color="auto"/>
            </w:tcBorders>
            <w:hideMark/>
          </w:tcPr>
          <w:p w14:paraId="3689C25C"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0.083 </w:t>
            </w:r>
          </w:p>
        </w:tc>
        <w:tc>
          <w:tcPr>
            <w:tcW w:w="854" w:type="pct"/>
            <w:tcBorders>
              <w:bottom w:val="single" w:sz="12" w:space="0" w:color="auto"/>
            </w:tcBorders>
            <w:hideMark/>
          </w:tcPr>
          <w:p w14:paraId="5DF20A87"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3.290 </w:t>
            </w:r>
          </w:p>
        </w:tc>
        <w:tc>
          <w:tcPr>
            <w:tcW w:w="664" w:type="pct"/>
            <w:tcBorders>
              <w:bottom w:val="single" w:sz="12" w:space="0" w:color="auto"/>
            </w:tcBorders>
            <w:hideMark/>
          </w:tcPr>
          <w:p w14:paraId="298AC558"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0.001 </w:t>
            </w:r>
          </w:p>
        </w:tc>
        <w:tc>
          <w:tcPr>
            <w:tcW w:w="569" w:type="pct"/>
            <w:tcBorders>
              <w:bottom w:val="single" w:sz="12" w:space="0" w:color="auto"/>
            </w:tcBorders>
          </w:tcPr>
          <w:p w14:paraId="4BC194D0"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0.112 </w:t>
            </w:r>
          </w:p>
        </w:tc>
        <w:tc>
          <w:tcPr>
            <w:tcW w:w="545" w:type="pct"/>
            <w:tcBorders>
              <w:bottom w:val="single" w:sz="12" w:space="0" w:color="auto"/>
            </w:tcBorders>
          </w:tcPr>
          <w:p w14:paraId="5C76D337"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0.437 </w:t>
            </w:r>
          </w:p>
        </w:tc>
      </w:tr>
    </w:tbl>
    <w:p w14:paraId="56AAE96C" w14:textId="77777777" w:rsidR="0097267E" w:rsidRPr="00120553" w:rsidRDefault="0097267E" w:rsidP="0097267E">
      <w:pPr>
        <w:spacing w:line="278" w:lineRule="auto"/>
        <w:rPr>
          <w:rFonts w:eastAsia="Aptos" w:cs="Times New Roman"/>
          <w:kern w:val="2"/>
          <w:szCs w:val="20"/>
          <w14:ligatures w14:val="standardContextual"/>
        </w:rPr>
      </w:pPr>
    </w:p>
    <w:p w14:paraId="0510920D" w14:textId="77777777" w:rsidR="00424237" w:rsidRDefault="0097267E"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Table 7 shows the values of f² (effect size) in the table </w:t>
      </w:r>
      <w:r w:rsidR="004D7A47">
        <w:rPr>
          <w:rFonts w:eastAsia="Aptos" w:cs="Times New Roman"/>
          <w:kern w:val="2"/>
          <w:szCs w:val="20"/>
          <w14:ligatures w14:val="standardContextual"/>
        </w:rPr>
        <w:t xml:space="preserve">to </w:t>
      </w:r>
      <w:r w:rsidRPr="00120553">
        <w:rPr>
          <w:rFonts w:eastAsia="Aptos" w:cs="Times New Roman"/>
          <w:kern w:val="2"/>
          <w:szCs w:val="20"/>
          <w14:ligatures w14:val="standardContextual"/>
        </w:rPr>
        <w:t xml:space="preserve">evaluate the effectiveness of the relationships between constructs within the PLS-SEM model. </w:t>
      </w:r>
      <w:r w:rsidR="00FC509E">
        <w:rPr>
          <w:rFonts w:eastAsia="Aptos" w:cs="Times New Roman"/>
          <w:kern w:val="2"/>
          <w:szCs w:val="20"/>
          <w14:ligatures w14:val="standardContextual"/>
        </w:rPr>
        <w:t>AI-driven</w:t>
      </w:r>
      <w:r w:rsidRPr="00120553">
        <w:rPr>
          <w:rFonts w:eastAsia="Aptos" w:cs="Times New Roman"/>
          <w:kern w:val="2"/>
          <w:szCs w:val="20"/>
          <w14:ligatures w14:val="standardContextual"/>
        </w:rPr>
        <w:t xml:space="preserve"> Supply Chain Integration (AI-SCI) takes effect on Supply Chain Agility (SCA__) f² = 1.956 and technological readiness TR_ f² = 1.689</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which means that AI-SCI influences these mediators strongly. </w:t>
      </w:r>
    </w:p>
    <w:p w14:paraId="413EB609" w14:textId="77777777" w:rsidR="00424237" w:rsidRDefault="00424237" w:rsidP="00A551DA">
      <w:pPr>
        <w:rPr>
          <w:rFonts w:eastAsia="Aptos" w:cs="Times New Roman"/>
          <w:kern w:val="2"/>
          <w:szCs w:val="20"/>
          <w14:ligatures w14:val="standardContextual"/>
        </w:rPr>
      </w:pPr>
    </w:p>
    <w:p w14:paraId="58DFADF1" w14:textId="77777777" w:rsidR="00424237" w:rsidRDefault="0097267E"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Even so, AI-SCI has a small effect on Environmental Sustainability (ES_) directly f² = 0.032; implying that the AI-SCI impact on sustainability is mostly through … SCA_ and TR_. The small effect of ES_ on SCA_ f² = 0.019 and TR_ on other constructs f² = 0.028 denotes weaker direct relations between sustainability and agility and readiness. </w:t>
      </w:r>
    </w:p>
    <w:p w14:paraId="3ED03386" w14:textId="77777777" w:rsidR="00424237" w:rsidRDefault="00424237" w:rsidP="00A551DA">
      <w:pPr>
        <w:rPr>
          <w:rFonts w:eastAsia="Aptos" w:cs="Times New Roman"/>
          <w:kern w:val="2"/>
          <w:szCs w:val="20"/>
          <w14:ligatures w14:val="standardContextual"/>
        </w:rPr>
      </w:pPr>
    </w:p>
    <w:p w14:paraId="75C9AD2C" w14:textId="1820D676" w:rsidR="0097267E" w:rsidRPr="00120553" w:rsidRDefault="0097267E"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These results. </w:t>
      </w:r>
      <w:r w:rsidR="00FC509E">
        <w:rPr>
          <w:rFonts w:eastAsia="Aptos" w:cs="Times New Roman"/>
          <w:kern w:val="2"/>
          <w:szCs w:val="20"/>
          <w14:ligatures w14:val="standardContextual"/>
        </w:rPr>
        <w:t>Manifestations</w:t>
      </w:r>
      <w:r w:rsidRPr="00120553">
        <w:rPr>
          <w:rFonts w:eastAsia="Aptos" w:cs="Times New Roman"/>
          <w:kern w:val="2"/>
          <w:szCs w:val="20"/>
          <w14:ligatures w14:val="standardContextual"/>
        </w:rPr>
        <w:t xml:space="preserve"> underscore the picture that SCA_ and TR_ are the key mediating variables that consequently sustain the impact of AI-SCI to accomplish Environmental Sustainability in the RMG sector of Bangladesh, integrating other AI-SCI and SCA_ and TR_ and pointing toward the less obvious routes to sustainability, consistent with the emphasis of the study on mediation processes.</w:t>
      </w:r>
    </w:p>
    <w:p w14:paraId="55056220" w14:textId="77777777" w:rsidR="0097267E" w:rsidRDefault="0097267E" w:rsidP="0097267E">
      <w:pPr>
        <w:spacing w:line="278" w:lineRule="auto"/>
        <w:jc w:val="center"/>
        <w:rPr>
          <w:rFonts w:eastAsia="Aptos" w:cs="Times New Roman"/>
          <w:kern w:val="2"/>
          <w:szCs w:val="20"/>
          <w14:ligatures w14:val="standardContextual"/>
        </w:rPr>
      </w:pPr>
    </w:p>
    <w:p w14:paraId="4A924A41" w14:textId="0F0657FC" w:rsidR="0097267E" w:rsidRPr="00120553" w:rsidRDefault="0097267E" w:rsidP="0097267E">
      <w:pPr>
        <w:spacing w:line="278" w:lineRule="auto"/>
        <w:jc w:val="center"/>
        <w:rPr>
          <w:rFonts w:eastAsia="Aptos" w:cs="Times New Roman"/>
          <w:kern w:val="2"/>
          <w:szCs w:val="20"/>
          <w14:ligatures w14:val="standardContextual"/>
        </w:rPr>
      </w:pPr>
      <w:r w:rsidRPr="0097267E">
        <w:rPr>
          <w:rFonts w:eastAsia="Aptos" w:cs="Times New Roman"/>
          <w:b/>
          <w:bCs/>
          <w:kern w:val="2"/>
          <w:szCs w:val="20"/>
          <w14:ligatures w14:val="standardContextual"/>
        </w:rPr>
        <w:t>Table 7</w:t>
      </w:r>
      <w:r w:rsidR="0090192B">
        <w:rPr>
          <w:rFonts w:eastAsia="Aptos" w:cs="Times New Roman"/>
          <w:b/>
          <w:bCs/>
          <w:kern w:val="2"/>
          <w:szCs w:val="20"/>
          <w14:ligatures w14:val="standardContextual"/>
        </w:rPr>
        <w:t>:</w:t>
      </w:r>
      <w:r w:rsidRPr="00120553">
        <w:rPr>
          <w:rFonts w:eastAsia="Aptos" w:cs="Times New Roman"/>
          <w:kern w:val="2"/>
          <w:szCs w:val="20"/>
          <w14:ligatures w14:val="standardContextual"/>
        </w:rPr>
        <w:t xml:space="preserve"> F-Square: Predictive relevance (effect size)</w:t>
      </w:r>
    </w:p>
    <w:tbl>
      <w:tblPr>
        <w:tblStyle w:val="PlainTable4"/>
        <w:tblW w:w="5000" w:type="pct"/>
        <w:tblLook w:val="04A0" w:firstRow="1" w:lastRow="0" w:firstColumn="1" w:lastColumn="0" w:noHBand="0" w:noVBand="1"/>
      </w:tblPr>
      <w:tblGrid>
        <w:gridCol w:w="2314"/>
        <w:gridCol w:w="2314"/>
        <w:gridCol w:w="1661"/>
        <w:gridCol w:w="1796"/>
        <w:gridCol w:w="1661"/>
      </w:tblGrid>
      <w:tr w:rsidR="0097267E" w:rsidRPr="00BF1114" w14:paraId="502B011C" w14:textId="77777777" w:rsidTr="00972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8" w:space="0" w:color="auto"/>
            </w:tcBorders>
            <w:hideMark/>
          </w:tcPr>
          <w:p w14:paraId="69377747" w14:textId="77777777" w:rsidR="0097267E" w:rsidRPr="00BF1114" w:rsidRDefault="0097267E" w:rsidP="007618DF">
            <w:pPr>
              <w:rPr>
                <w:rFonts w:eastAsia="Times New Roman" w:cs="Times New Roman"/>
                <w:b w:val="0"/>
                <w:sz w:val="22"/>
                <w:szCs w:val="20"/>
              </w:rPr>
            </w:pPr>
            <w:r w:rsidRPr="00BF1114">
              <w:rPr>
                <w:rFonts w:eastAsia="Times New Roman" w:cs="Times New Roman"/>
                <w:b w:val="0"/>
                <w:sz w:val="22"/>
                <w:szCs w:val="20"/>
              </w:rPr>
              <w:t xml:space="preserve">Items </w:t>
            </w:r>
          </w:p>
        </w:tc>
        <w:tc>
          <w:tcPr>
            <w:tcW w:w="0" w:type="auto"/>
            <w:tcBorders>
              <w:top w:val="single" w:sz="12" w:space="0" w:color="auto"/>
              <w:bottom w:val="single" w:sz="8" w:space="0" w:color="auto"/>
            </w:tcBorders>
            <w:hideMark/>
          </w:tcPr>
          <w:p w14:paraId="0FE7CC91"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0"/>
              </w:rPr>
            </w:pPr>
            <w:r w:rsidRPr="00BF1114">
              <w:rPr>
                <w:rFonts w:eastAsia="Times New Roman" w:cs="Times New Roman"/>
                <w:b w:val="0"/>
                <w:bCs w:val="0"/>
                <w:sz w:val="22"/>
                <w:szCs w:val="20"/>
              </w:rPr>
              <w:t xml:space="preserve">AI-SCI_ </w:t>
            </w:r>
          </w:p>
        </w:tc>
        <w:tc>
          <w:tcPr>
            <w:tcW w:w="0" w:type="auto"/>
            <w:tcBorders>
              <w:top w:val="single" w:sz="12" w:space="0" w:color="auto"/>
              <w:bottom w:val="single" w:sz="8" w:space="0" w:color="auto"/>
            </w:tcBorders>
            <w:hideMark/>
          </w:tcPr>
          <w:p w14:paraId="4A9F8E1F"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0"/>
              </w:rPr>
            </w:pPr>
            <w:r w:rsidRPr="00BF1114">
              <w:rPr>
                <w:rFonts w:eastAsia="Times New Roman" w:cs="Times New Roman"/>
                <w:b w:val="0"/>
                <w:bCs w:val="0"/>
                <w:sz w:val="22"/>
                <w:szCs w:val="20"/>
              </w:rPr>
              <w:t xml:space="preserve">ES_ </w:t>
            </w:r>
          </w:p>
        </w:tc>
        <w:tc>
          <w:tcPr>
            <w:tcW w:w="0" w:type="auto"/>
            <w:tcBorders>
              <w:top w:val="single" w:sz="12" w:space="0" w:color="auto"/>
              <w:bottom w:val="single" w:sz="8" w:space="0" w:color="auto"/>
            </w:tcBorders>
            <w:hideMark/>
          </w:tcPr>
          <w:p w14:paraId="661C24FC"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0"/>
              </w:rPr>
            </w:pPr>
            <w:r w:rsidRPr="00BF1114">
              <w:rPr>
                <w:rFonts w:eastAsia="Times New Roman" w:cs="Times New Roman"/>
                <w:b w:val="0"/>
                <w:bCs w:val="0"/>
                <w:sz w:val="22"/>
                <w:szCs w:val="20"/>
              </w:rPr>
              <w:t xml:space="preserve">SCA_ </w:t>
            </w:r>
          </w:p>
        </w:tc>
        <w:tc>
          <w:tcPr>
            <w:tcW w:w="0" w:type="auto"/>
            <w:tcBorders>
              <w:top w:val="single" w:sz="12" w:space="0" w:color="auto"/>
              <w:bottom w:val="single" w:sz="8" w:space="0" w:color="auto"/>
            </w:tcBorders>
            <w:hideMark/>
          </w:tcPr>
          <w:p w14:paraId="60C3BCB3"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0"/>
              </w:rPr>
            </w:pPr>
            <w:r w:rsidRPr="00BF1114">
              <w:rPr>
                <w:rFonts w:eastAsia="Times New Roman" w:cs="Times New Roman"/>
                <w:b w:val="0"/>
                <w:bCs w:val="0"/>
                <w:sz w:val="22"/>
                <w:szCs w:val="20"/>
              </w:rPr>
              <w:t xml:space="preserve">TR_ </w:t>
            </w:r>
          </w:p>
        </w:tc>
      </w:tr>
      <w:tr w:rsidR="0097267E" w:rsidRPr="00BF1114" w14:paraId="007D26CA" w14:textId="77777777" w:rsidTr="00972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hideMark/>
          </w:tcPr>
          <w:p w14:paraId="1CD66019" w14:textId="77777777" w:rsidR="0097267E" w:rsidRPr="00BF1114" w:rsidRDefault="0097267E" w:rsidP="007618DF">
            <w:pPr>
              <w:rPr>
                <w:rFonts w:eastAsia="Times New Roman" w:cs="Times New Roman"/>
                <w:b w:val="0"/>
                <w:bCs w:val="0"/>
                <w:sz w:val="22"/>
                <w:szCs w:val="20"/>
              </w:rPr>
            </w:pPr>
            <w:r w:rsidRPr="00BF1114">
              <w:rPr>
                <w:rFonts w:eastAsia="Times New Roman" w:cs="Times New Roman"/>
                <w:b w:val="0"/>
                <w:bCs w:val="0"/>
                <w:sz w:val="22"/>
                <w:szCs w:val="20"/>
              </w:rPr>
              <w:t xml:space="preserve">AI-SCI_ </w:t>
            </w:r>
          </w:p>
        </w:tc>
        <w:tc>
          <w:tcPr>
            <w:tcW w:w="0" w:type="auto"/>
            <w:tcBorders>
              <w:top w:val="single" w:sz="8" w:space="0" w:color="auto"/>
            </w:tcBorders>
            <w:hideMark/>
          </w:tcPr>
          <w:p w14:paraId="67315926"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2"/>
                <w:szCs w:val="20"/>
              </w:rPr>
            </w:pPr>
          </w:p>
        </w:tc>
        <w:tc>
          <w:tcPr>
            <w:tcW w:w="0" w:type="auto"/>
            <w:tcBorders>
              <w:top w:val="single" w:sz="8" w:space="0" w:color="auto"/>
            </w:tcBorders>
            <w:hideMark/>
          </w:tcPr>
          <w:p w14:paraId="6B35FE3D"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0"/>
              </w:rPr>
            </w:pPr>
            <w:r w:rsidRPr="00BF1114">
              <w:rPr>
                <w:rFonts w:eastAsia="Times New Roman" w:cs="Times New Roman"/>
                <w:sz w:val="22"/>
                <w:szCs w:val="20"/>
              </w:rPr>
              <w:t xml:space="preserve">0.032 </w:t>
            </w:r>
          </w:p>
        </w:tc>
        <w:tc>
          <w:tcPr>
            <w:tcW w:w="0" w:type="auto"/>
            <w:tcBorders>
              <w:top w:val="single" w:sz="8" w:space="0" w:color="auto"/>
            </w:tcBorders>
            <w:hideMark/>
          </w:tcPr>
          <w:p w14:paraId="11675888"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0"/>
              </w:rPr>
            </w:pPr>
            <w:r w:rsidRPr="00BF1114">
              <w:rPr>
                <w:rFonts w:eastAsia="Times New Roman" w:cs="Times New Roman"/>
                <w:sz w:val="22"/>
                <w:szCs w:val="20"/>
              </w:rPr>
              <w:t xml:space="preserve">1.956 </w:t>
            </w:r>
          </w:p>
        </w:tc>
        <w:tc>
          <w:tcPr>
            <w:tcW w:w="0" w:type="auto"/>
            <w:tcBorders>
              <w:top w:val="single" w:sz="8" w:space="0" w:color="auto"/>
            </w:tcBorders>
            <w:hideMark/>
          </w:tcPr>
          <w:p w14:paraId="44BC2250"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0"/>
              </w:rPr>
            </w:pPr>
            <w:r w:rsidRPr="00BF1114">
              <w:rPr>
                <w:rFonts w:eastAsia="Times New Roman" w:cs="Times New Roman"/>
                <w:sz w:val="22"/>
                <w:szCs w:val="20"/>
              </w:rPr>
              <w:t xml:space="preserve">1.689 </w:t>
            </w:r>
          </w:p>
        </w:tc>
      </w:tr>
      <w:tr w:rsidR="0097267E" w:rsidRPr="00BF1114" w14:paraId="5902ECC1" w14:textId="77777777" w:rsidTr="0097267E">
        <w:tc>
          <w:tcPr>
            <w:cnfStyle w:val="001000000000" w:firstRow="0" w:lastRow="0" w:firstColumn="1" w:lastColumn="0" w:oddVBand="0" w:evenVBand="0" w:oddHBand="0" w:evenHBand="0" w:firstRowFirstColumn="0" w:firstRowLastColumn="0" w:lastRowFirstColumn="0" w:lastRowLastColumn="0"/>
            <w:tcW w:w="0" w:type="auto"/>
            <w:hideMark/>
          </w:tcPr>
          <w:p w14:paraId="5C45D10C" w14:textId="77777777" w:rsidR="0097267E" w:rsidRPr="00BF1114" w:rsidRDefault="0097267E" w:rsidP="007618DF">
            <w:pPr>
              <w:rPr>
                <w:rFonts w:eastAsia="Times New Roman" w:cs="Times New Roman"/>
                <w:b w:val="0"/>
                <w:bCs w:val="0"/>
                <w:sz w:val="22"/>
                <w:szCs w:val="20"/>
              </w:rPr>
            </w:pPr>
            <w:r w:rsidRPr="00BF1114">
              <w:rPr>
                <w:rFonts w:eastAsia="Times New Roman" w:cs="Times New Roman"/>
                <w:b w:val="0"/>
                <w:bCs w:val="0"/>
                <w:sz w:val="22"/>
                <w:szCs w:val="20"/>
              </w:rPr>
              <w:t xml:space="preserve">ES_ </w:t>
            </w:r>
          </w:p>
        </w:tc>
        <w:tc>
          <w:tcPr>
            <w:tcW w:w="0" w:type="auto"/>
            <w:hideMark/>
          </w:tcPr>
          <w:p w14:paraId="7D71A601"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2"/>
                <w:szCs w:val="20"/>
              </w:rPr>
            </w:pPr>
          </w:p>
        </w:tc>
        <w:tc>
          <w:tcPr>
            <w:tcW w:w="0" w:type="auto"/>
            <w:hideMark/>
          </w:tcPr>
          <w:p w14:paraId="0BFA6835"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0"/>
              </w:rPr>
            </w:pPr>
          </w:p>
        </w:tc>
        <w:tc>
          <w:tcPr>
            <w:tcW w:w="0" w:type="auto"/>
            <w:hideMark/>
          </w:tcPr>
          <w:p w14:paraId="207C65D7"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0"/>
              </w:rPr>
            </w:pPr>
          </w:p>
        </w:tc>
        <w:tc>
          <w:tcPr>
            <w:tcW w:w="0" w:type="auto"/>
            <w:hideMark/>
          </w:tcPr>
          <w:p w14:paraId="5F5B9F80"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0"/>
              </w:rPr>
            </w:pPr>
          </w:p>
        </w:tc>
      </w:tr>
      <w:tr w:rsidR="0097267E" w:rsidRPr="00BF1114" w14:paraId="08A958A2" w14:textId="77777777" w:rsidTr="00972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41A099" w14:textId="77777777" w:rsidR="0097267E" w:rsidRPr="00BF1114" w:rsidRDefault="0097267E" w:rsidP="007618DF">
            <w:pPr>
              <w:rPr>
                <w:rFonts w:eastAsia="Times New Roman" w:cs="Times New Roman"/>
                <w:b w:val="0"/>
                <w:bCs w:val="0"/>
                <w:sz w:val="22"/>
                <w:szCs w:val="20"/>
              </w:rPr>
            </w:pPr>
            <w:r w:rsidRPr="00BF1114">
              <w:rPr>
                <w:rFonts w:eastAsia="Times New Roman" w:cs="Times New Roman"/>
                <w:b w:val="0"/>
                <w:bCs w:val="0"/>
                <w:sz w:val="22"/>
                <w:szCs w:val="20"/>
              </w:rPr>
              <w:t xml:space="preserve">SCA_ </w:t>
            </w:r>
          </w:p>
        </w:tc>
        <w:tc>
          <w:tcPr>
            <w:tcW w:w="0" w:type="auto"/>
            <w:hideMark/>
          </w:tcPr>
          <w:p w14:paraId="50BAEA6B"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2"/>
                <w:szCs w:val="20"/>
              </w:rPr>
            </w:pPr>
          </w:p>
        </w:tc>
        <w:tc>
          <w:tcPr>
            <w:tcW w:w="0" w:type="auto"/>
            <w:hideMark/>
          </w:tcPr>
          <w:p w14:paraId="2DBFE6BC"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0"/>
              </w:rPr>
            </w:pPr>
            <w:r w:rsidRPr="00BF1114">
              <w:rPr>
                <w:rFonts w:eastAsia="Times New Roman" w:cs="Times New Roman"/>
                <w:sz w:val="22"/>
                <w:szCs w:val="20"/>
              </w:rPr>
              <w:t xml:space="preserve">0.019 </w:t>
            </w:r>
          </w:p>
        </w:tc>
        <w:tc>
          <w:tcPr>
            <w:tcW w:w="0" w:type="auto"/>
            <w:hideMark/>
          </w:tcPr>
          <w:p w14:paraId="3603884C"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0"/>
              </w:rPr>
            </w:pPr>
          </w:p>
        </w:tc>
        <w:tc>
          <w:tcPr>
            <w:tcW w:w="0" w:type="auto"/>
            <w:hideMark/>
          </w:tcPr>
          <w:p w14:paraId="4090A8D2"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0"/>
              </w:rPr>
            </w:pPr>
          </w:p>
        </w:tc>
      </w:tr>
      <w:tr w:rsidR="0097267E" w:rsidRPr="00BF1114" w14:paraId="1F1DA262" w14:textId="77777777" w:rsidTr="0097267E">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63B9F83F" w14:textId="77777777" w:rsidR="0097267E" w:rsidRPr="00BF1114" w:rsidRDefault="0097267E" w:rsidP="007618DF">
            <w:pPr>
              <w:rPr>
                <w:rFonts w:eastAsia="Times New Roman" w:cs="Times New Roman"/>
                <w:b w:val="0"/>
                <w:bCs w:val="0"/>
                <w:sz w:val="22"/>
                <w:szCs w:val="20"/>
              </w:rPr>
            </w:pPr>
            <w:r w:rsidRPr="00BF1114">
              <w:rPr>
                <w:rFonts w:eastAsia="Times New Roman" w:cs="Times New Roman"/>
                <w:b w:val="0"/>
                <w:bCs w:val="0"/>
                <w:sz w:val="22"/>
                <w:szCs w:val="20"/>
              </w:rPr>
              <w:t xml:space="preserve">TR_ </w:t>
            </w:r>
          </w:p>
        </w:tc>
        <w:tc>
          <w:tcPr>
            <w:tcW w:w="0" w:type="auto"/>
            <w:tcBorders>
              <w:bottom w:val="single" w:sz="12" w:space="0" w:color="auto"/>
            </w:tcBorders>
            <w:hideMark/>
          </w:tcPr>
          <w:p w14:paraId="707567F8"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2"/>
                <w:szCs w:val="20"/>
              </w:rPr>
            </w:pPr>
          </w:p>
        </w:tc>
        <w:tc>
          <w:tcPr>
            <w:tcW w:w="0" w:type="auto"/>
            <w:tcBorders>
              <w:bottom w:val="single" w:sz="12" w:space="0" w:color="auto"/>
            </w:tcBorders>
            <w:hideMark/>
          </w:tcPr>
          <w:p w14:paraId="63228230"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0"/>
              </w:rPr>
            </w:pPr>
            <w:r w:rsidRPr="00BF1114">
              <w:rPr>
                <w:rFonts w:eastAsia="Times New Roman" w:cs="Times New Roman"/>
                <w:sz w:val="22"/>
                <w:szCs w:val="20"/>
              </w:rPr>
              <w:t xml:space="preserve">0.028 </w:t>
            </w:r>
          </w:p>
        </w:tc>
        <w:tc>
          <w:tcPr>
            <w:tcW w:w="0" w:type="auto"/>
            <w:tcBorders>
              <w:bottom w:val="single" w:sz="12" w:space="0" w:color="auto"/>
            </w:tcBorders>
            <w:hideMark/>
          </w:tcPr>
          <w:p w14:paraId="3DE95742"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0"/>
              </w:rPr>
            </w:pPr>
          </w:p>
        </w:tc>
        <w:tc>
          <w:tcPr>
            <w:tcW w:w="0" w:type="auto"/>
            <w:tcBorders>
              <w:bottom w:val="single" w:sz="12" w:space="0" w:color="auto"/>
            </w:tcBorders>
            <w:hideMark/>
          </w:tcPr>
          <w:p w14:paraId="3BC5676D"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0"/>
              </w:rPr>
            </w:pPr>
          </w:p>
        </w:tc>
      </w:tr>
    </w:tbl>
    <w:p w14:paraId="4EEB3EA6" w14:textId="77777777" w:rsidR="0097267E" w:rsidRPr="00120553" w:rsidRDefault="0097267E" w:rsidP="0097267E">
      <w:pPr>
        <w:rPr>
          <w:rFonts w:eastAsia="Aptos" w:cs="Times New Roman"/>
          <w:kern w:val="2"/>
          <w:szCs w:val="20"/>
          <w14:ligatures w14:val="standardContextual"/>
        </w:rPr>
      </w:pPr>
    </w:p>
    <w:p w14:paraId="31CF5739" w14:textId="6058BE49" w:rsidR="0097267E" w:rsidRPr="00120553" w:rsidRDefault="0097267E" w:rsidP="0097267E">
      <w:pPr>
        <w:jc w:val="center"/>
        <w:rPr>
          <w:rFonts w:eastAsia="Aptos" w:cs="Times New Roman"/>
          <w:kern w:val="2"/>
          <w:szCs w:val="20"/>
          <w14:ligatures w14:val="standardContextual"/>
        </w:rPr>
      </w:pPr>
      <w:r w:rsidRPr="0097267E">
        <w:rPr>
          <w:rFonts w:eastAsia="Aptos" w:cs="Times New Roman"/>
          <w:b/>
          <w:bCs/>
          <w:kern w:val="2"/>
          <w:szCs w:val="20"/>
          <w14:ligatures w14:val="standardContextual"/>
        </w:rPr>
        <w:t>Table 8</w:t>
      </w:r>
      <w:r w:rsidR="0090192B">
        <w:rPr>
          <w:rFonts w:eastAsia="Aptos" w:cs="Times New Roman"/>
          <w:b/>
          <w:bCs/>
          <w:kern w:val="2"/>
          <w:szCs w:val="20"/>
          <w14:ligatures w14:val="standardContextual"/>
        </w:rPr>
        <w:t>:</w:t>
      </w:r>
      <w:r>
        <w:rPr>
          <w:rFonts w:eastAsia="Aptos" w:cs="Times New Roman"/>
          <w:kern w:val="2"/>
          <w:szCs w:val="20"/>
          <w14:ligatures w14:val="standardContextual"/>
        </w:rPr>
        <w:t xml:space="preserve"> </w:t>
      </w:r>
      <w:r w:rsidRPr="00120553">
        <w:rPr>
          <w:rFonts w:eastAsia="Aptos" w:cs="Times New Roman"/>
          <w:kern w:val="2"/>
          <w:szCs w:val="20"/>
          <w14:ligatures w14:val="standardContextual"/>
        </w:rPr>
        <w:t>Q²predict, RMSE</w:t>
      </w:r>
      <w:r w:rsidR="004D7A47">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and MAE</w:t>
      </w:r>
    </w:p>
    <w:tbl>
      <w:tblPr>
        <w:tblStyle w:val="PlainTable4"/>
        <w:tblW w:w="5000" w:type="pct"/>
        <w:tblLook w:val="04A0" w:firstRow="1" w:lastRow="0" w:firstColumn="1" w:lastColumn="0" w:noHBand="0" w:noVBand="1"/>
      </w:tblPr>
      <w:tblGrid>
        <w:gridCol w:w="1963"/>
        <w:gridCol w:w="3345"/>
        <w:gridCol w:w="2383"/>
        <w:gridCol w:w="2055"/>
      </w:tblGrid>
      <w:tr w:rsidR="0097267E" w:rsidRPr="00BF1114" w14:paraId="34CA6C55" w14:textId="77777777" w:rsidTr="00972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Borders>
              <w:top w:val="single" w:sz="12" w:space="0" w:color="auto"/>
              <w:bottom w:val="single" w:sz="8" w:space="0" w:color="auto"/>
            </w:tcBorders>
            <w:hideMark/>
          </w:tcPr>
          <w:p w14:paraId="7A51F547" w14:textId="77777777" w:rsidR="0097267E" w:rsidRPr="00BF1114" w:rsidRDefault="0097267E" w:rsidP="007618DF">
            <w:pPr>
              <w:rPr>
                <w:rFonts w:eastAsia="Times New Roman" w:cs="Times New Roman"/>
                <w:szCs w:val="20"/>
              </w:rPr>
            </w:pPr>
            <w:bookmarkStart w:id="2" w:name="_Hlk190160309"/>
            <w:r w:rsidRPr="00BF1114">
              <w:rPr>
                <w:rFonts w:eastAsia="Times New Roman" w:cs="Times New Roman"/>
                <w:szCs w:val="20"/>
              </w:rPr>
              <w:t xml:space="preserve">Items </w:t>
            </w:r>
          </w:p>
        </w:tc>
        <w:tc>
          <w:tcPr>
            <w:tcW w:w="1716" w:type="pct"/>
            <w:tcBorders>
              <w:top w:val="single" w:sz="12" w:space="0" w:color="auto"/>
              <w:bottom w:val="single" w:sz="8" w:space="0" w:color="auto"/>
            </w:tcBorders>
            <w:hideMark/>
          </w:tcPr>
          <w:p w14:paraId="353BA140"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bookmarkStart w:id="3" w:name="_Hlk190775294"/>
            <w:r w:rsidRPr="00BF1114">
              <w:rPr>
                <w:rFonts w:eastAsia="Times New Roman" w:cs="Times New Roman"/>
                <w:bCs w:val="0"/>
                <w:szCs w:val="20"/>
              </w:rPr>
              <w:t xml:space="preserve">Q²predict </w:t>
            </w:r>
            <w:bookmarkEnd w:id="3"/>
          </w:p>
        </w:tc>
        <w:tc>
          <w:tcPr>
            <w:tcW w:w="0" w:type="auto"/>
            <w:tcBorders>
              <w:top w:val="single" w:sz="12" w:space="0" w:color="auto"/>
              <w:bottom w:val="single" w:sz="8" w:space="0" w:color="auto"/>
            </w:tcBorders>
            <w:hideMark/>
          </w:tcPr>
          <w:p w14:paraId="4BA5E2D9"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RMSE </w:t>
            </w:r>
          </w:p>
        </w:tc>
        <w:tc>
          <w:tcPr>
            <w:tcW w:w="0" w:type="auto"/>
            <w:tcBorders>
              <w:top w:val="single" w:sz="12" w:space="0" w:color="auto"/>
              <w:bottom w:val="single" w:sz="8" w:space="0" w:color="auto"/>
            </w:tcBorders>
            <w:hideMark/>
          </w:tcPr>
          <w:p w14:paraId="35FC8D6D"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MAE </w:t>
            </w:r>
          </w:p>
        </w:tc>
      </w:tr>
      <w:tr w:rsidR="0097267E" w:rsidRPr="00BF1114" w14:paraId="02567BE8" w14:textId="77777777" w:rsidTr="00972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Borders>
              <w:top w:val="single" w:sz="8" w:space="0" w:color="auto"/>
            </w:tcBorders>
            <w:hideMark/>
          </w:tcPr>
          <w:p w14:paraId="54AADBA2"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ES_ </w:t>
            </w:r>
          </w:p>
        </w:tc>
        <w:tc>
          <w:tcPr>
            <w:tcW w:w="1716" w:type="pct"/>
            <w:tcBorders>
              <w:top w:val="single" w:sz="8" w:space="0" w:color="auto"/>
            </w:tcBorders>
            <w:hideMark/>
          </w:tcPr>
          <w:p w14:paraId="39B8BF20"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0.397 </w:t>
            </w:r>
          </w:p>
        </w:tc>
        <w:tc>
          <w:tcPr>
            <w:tcW w:w="0" w:type="auto"/>
            <w:tcBorders>
              <w:top w:val="single" w:sz="8" w:space="0" w:color="auto"/>
            </w:tcBorders>
            <w:hideMark/>
          </w:tcPr>
          <w:p w14:paraId="7F891054"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0.779 </w:t>
            </w:r>
          </w:p>
        </w:tc>
        <w:tc>
          <w:tcPr>
            <w:tcW w:w="0" w:type="auto"/>
            <w:tcBorders>
              <w:top w:val="single" w:sz="8" w:space="0" w:color="auto"/>
            </w:tcBorders>
            <w:hideMark/>
          </w:tcPr>
          <w:p w14:paraId="48446153"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0.591 </w:t>
            </w:r>
          </w:p>
        </w:tc>
      </w:tr>
      <w:tr w:rsidR="0097267E" w:rsidRPr="00BF1114" w14:paraId="3492A44E" w14:textId="77777777" w:rsidTr="0097267E">
        <w:tc>
          <w:tcPr>
            <w:cnfStyle w:val="001000000000" w:firstRow="0" w:lastRow="0" w:firstColumn="1" w:lastColumn="0" w:oddVBand="0" w:evenVBand="0" w:oddHBand="0" w:evenHBand="0" w:firstRowFirstColumn="0" w:firstRowLastColumn="0" w:lastRowFirstColumn="0" w:lastRowLastColumn="0"/>
            <w:tcW w:w="1007" w:type="pct"/>
            <w:hideMark/>
          </w:tcPr>
          <w:p w14:paraId="4ADC2316"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SCA_ </w:t>
            </w:r>
          </w:p>
        </w:tc>
        <w:tc>
          <w:tcPr>
            <w:tcW w:w="1716" w:type="pct"/>
            <w:hideMark/>
          </w:tcPr>
          <w:p w14:paraId="7A3AD87C"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0.655 </w:t>
            </w:r>
          </w:p>
        </w:tc>
        <w:tc>
          <w:tcPr>
            <w:tcW w:w="0" w:type="auto"/>
            <w:hideMark/>
          </w:tcPr>
          <w:p w14:paraId="3E90078E"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0.591 </w:t>
            </w:r>
          </w:p>
        </w:tc>
        <w:tc>
          <w:tcPr>
            <w:tcW w:w="0" w:type="auto"/>
            <w:hideMark/>
          </w:tcPr>
          <w:p w14:paraId="367EABD4"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0.460 </w:t>
            </w:r>
          </w:p>
        </w:tc>
      </w:tr>
      <w:tr w:rsidR="0097267E" w:rsidRPr="00BF1114" w14:paraId="02484D87" w14:textId="77777777" w:rsidTr="00972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Borders>
              <w:bottom w:val="single" w:sz="12" w:space="0" w:color="auto"/>
            </w:tcBorders>
            <w:hideMark/>
          </w:tcPr>
          <w:p w14:paraId="78B61854"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TR_ </w:t>
            </w:r>
          </w:p>
        </w:tc>
        <w:tc>
          <w:tcPr>
            <w:tcW w:w="1716" w:type="pct"/>
            <w:tcBorders>
              <w:bottom w:val="single" w:sz="12" w:space="0" w:color="auto"/>
            </w:tcBorders>
            <w:hideMark/>
          </w:tcPr>
          <w:p w14:paraId="7CD0401B"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0.624 </w:t>
            </w:r>
          </w:p>
        </w:tc>
        <w:tc>
          <w:tcPr>
            <w:tcW w:w="0" w:type="auto"/>
            <w:tcBorders>
              <w:bottom w:val="single" w:sz="12" w:space="0" w:color="auto"/>
            </w:tcBorders>
            <w:hideMark/>
          </w:tcPr>
          <w:p w14:paraId="5C3833BC"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0.617 </w:t>
            </w:r>
          </w:p>
        </w:tc>
        <w:tc>
          <w:tcPr>
            <w:tcW w:w="0" w:type="auto"/>
            <w:tcBorders>
              <w:bottom w:val="single" w:sz="12" w:space="0" w:color="auto"/>
            </w:tcBorders>
            <w:hideMark/>
          </w:tcPr>
          <w:p w14:paraId="73258ABC"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0.509 </w:t>
            </w:r>
          </w:p>
        </w:tc>
      </w:tr>
      <w:bookmarkEnd w:id="2"/>
    </w:tbl>
    <w:p w14:paraId="2AD2F801" w14:textId="77777777" w:rsidR="0097267E" w:rsidRDefault="0097267E" w:rsidP="0097267E">
      <w:pPr>
        <w:spacing w:line="278" w:lineRule="auto"/>
        <w:rPr>
          <w:rFonts w:eastAsia="Aptos" w:cs="Times New Roman"/>
          <w:kern w:val="2"/>
          <w:szCs w:val="20"/>
          <w14:ligatures w14:val="standardContextual"/>
        </w:rPr>
      </w:pPr>
    </w:p>
    <w:p w14:paraId="6F8FFF08" w14:textId="77777777" w:rsidR="0097267E" w:rsidRPr="00120553" w:rsidRDefault="0097267E" w:rsidP="0097267E">
      <w:pPr>
        <w:spacing w:line="278" w:lineRule="auto"/>
        <w:rPr>
          <w:rFonts w:eastAsia="Aptos" w:cs="Times New Roman"/>
          <w:kern w:val="2"/>
          <w:szCs w:val="20"/>
          <w14:ligatures w14:val="standardContextual"/>
        </w:rPr>
      </w:pPr>
    </w:p>
    <w:p w14:paraId="6F30CDFA" w14:textId="77777777" w:rsidR="00424237" w:rsidRDefault="0097267E"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The Q2 value is used to assess the predictive significance of the route model in </w:t>
      </w:r>
      <w:r w:rsidR="00FC509E">
        <w:rPr>
          <w:rFonts w:eastAsia="Aptos" w:cs="Times New Roman"/>
          <w:kern w:val="2"/>
          <w:szCs w:val="20"/>
          <w14:ligatures w14:val="standardContextual"/>
        </w:rPr>
        <w:t>Table</w:t>
      </w:r>
      <w:r w:rsidRPr="00120553">
        <w:rPr>
          <w:rFonts w:eastAsia="Aptos" w:cs="Times New Roman"/>
          <w:kern w:val="2"/>
          <w:szCs w:val="20"/>
          <w14:ligatures w14:val="standardContextual"/>
        </w:rPr>
        <w:t xml:space="preserve"> 8. In terms of reflective measurement constructs, a Q2 value greater than zero means that the external constructs have predictive relevance for the endogenous constructs </w:t>
      </w:r>
      <w:r w:rsidR="001C6B02">
        <w:rPr>
          <w:rFonts w:eastAsia="Aptos" w:cs="Times New Roman"/>
          <w:kern w:val="2"/>
          <w:szCs w:val="20"/>
          <w14:ligatures w14:val="standardContextual"/>
        </w:rPr>
        <w:t>[62]</w:t>
      </w:r>
      <w:r w:rsidRPr="00120553">
        <w:rPr>
          <w:rFonts w:eastAsia="Aptos" w:cs="Times New Roman"/>
          <w:kern w:val="2"/>
          <w:szCs w:val="20"/>
          <w14:ligatures w14:val="standardContextual"/>
        </w:rPr>
        <w:t xml:space="preserve">. </w:t>
      </w:r>
    </w:p>
    <w:p w14:paraId="3D197D01" w14:textId="77777777" w:rsidR="00424237" w:rsidRDefault="00424237" w:rsidP="00A551DA">
      <w:pPr>
        <w:rPr>
          <w:rFonts w:eastAsia="Aptos" w:cs="Times New Roman"/>
          <w:kern w:val="2"/>
          <w:szCs w:val="20"/>
          <w14:ligatures w14:val="standardContextual"/>
        </w:rPr>
      </w:pPr>
    </w:p>
    <w:p w14:paraId="0430A7E4" w14:textId="77777777" w:rsidR="00424237" w:rsidRDefault="0097267E" w:rsidP="00A551DA">
      <w:pPr>
        <w:rPr>
          <w:rFonts w:eastAsia="Aptos" w:cs="Times New Roman"/>
          <w:kern w:val="2"/>
          <w:szCs w:val="20"/>
          <w14:ligatures w14:val="standardContextual"/>
        </w:rPr>
      </w:pPr>
      <w:r w:rsidRPr="00120553">
        <w:rPr>
          <w:rFonts w:eastAsia="Aptos" w:cs="Times New Roman"/>
          <w:kern w:val="2"/>
          <w:szCs w:val="20"/>
          <w14:ligatures w14:val="standardContextual"/>
        </w:rPr>
        <w:t>The model demonstrates a substantial level of predictive capability</w:t>
      </w:r>
      <w:r w:rsidR="004D7A47">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which is exhibited through both moderate and high Q2 values (Table 8). The table shows the predictive performance results (Q² predict, RMSE, and MAE) related to the three constructs</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Environmental Sustainability (ES), Supply Chain Agility (SCA), and Technological Readiness (TR)</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using Smart PLS within the scope of the study on AI-based supply chain integration in the RMG industry of Bangladesh. </w:t>
      </w:r>
    </w:p>
    <w:p w14:paraId="3E74884D" w14:textId="77777777" w:rsidR="00424237" w:rsidRDefault="00424237" w:rsidP="00A551DA">
      <w:pPr>
        <w:rPr>
          <w:rFonts w:eastAsia="Aptos" w:cs="Times New Roman"/>
          <w:kern w:val="2"/>
          <w:szCs w:val="20"/>
          <w14:ligatures w14:val="standardContextual"/>
        </w:rPr>
      </w:pPr>
    </w:p>
    <w:p w14:paraId="7A810E89" w14:textId="59A5888E" w:rsidR="0097267E" w:rsidRDefault="0097267E" w:rsidP="00A551DA">
      <w:pPr>
        <w:rPr>
          <w:rFonts w:eastAsia="Aptos" w:cs="Times New Roman"/>
          <w:kern w:val="2"/>
          <w:szCs w:val="20"/>
          <w14:ligatures w14:val="standardContextual"/>
        </w:rPr>
      </w:pPr>
      <w:r w:rsidRPr="00120553">
        <w:rPr>
          <w:rFonts w:eastAsia="Aptos" w:cs="Times New Roman"/>
          <w:kern w:val="2"/>
          <w:szCs w:val="20"/>
          <w14:ligatures w14:val="standardContextual"/>
        </w:rPr>
        <w:t>Es and SCA</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and TR are 0.397 and 0.655</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and 0.624</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respectively. All these values show that the </w:t>
      </w:r>
      <w:r w:rsidR="001C6B02" w:rsidRPr="00120553">
        <w:rPr>
          <w:rFonts w:eastAsia="Aptos" w:cs="Times New Roman"/>
          <w:kern w:val="2"/>
          <w:szCs w:val="20"/>
          <w14:ligatures w14:val="standardContextual"/>
        </w:rPr>
        <w:t>constructions</w:t>
      </w:r>
      <w:r w:rsidRPr="00120553">
        <w:rPr>
          <w:rFonts w:eastAsia="Aptos" w:cs="Times New Roman"/>
          <w:kern w:val="2"/>
          <w:szCs w:val="20"/>
          <w14:ligatures w14:val="standardContextual"/>
        </w:rPr>
        <w:t xml:space="preserve"> have predictive relevance</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but SCA is the strongest predictor.</w:t>
      </w:r>
    </w:p>
    <w:p w14:paraId="6440F546" w14:textId="77777777" w:rsidR="003E5379" w:rsidRPr="00120553" w:rsidRDefault="003E5379" w:rsidP="00A551DA">
      <w:pPr>
        <w:rPr>
          <w:rFonts w:eastAsia="Aptos" w:cs="Times New Roman"/>
          <w:kern w:val="2"/>
          <w:szCs w:val="20"/>
          <w14:ligatures w14:val="standardContextual"/>
        </w:rPr>
      </w:pPr>
    </w:p>
    <w:p w14:paraId="44179C40" w14:textId="1E0BCA5D" w:rsidR="0097267E" w:rsidRPr="00120553" w:rsidRDefault="0097267E" w:rsidP="00A551DA">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Based on the computed accuracy values, SCA (RMSE = 0.591, MAE = 0.460) performed the best, followed by TR (RMSE = 0.617, MAE = 0.509) and ES (RMSE = 0.779, MAE = 0.591). These results indicate that Supply Chain Agility (SCA) and Technological Readiness (TR) serve as powerful mediators in the model </w:t>
      </w:r>
      <w:r w:rsidR="001C6B02">
        <w:rPr>
          <w:rFonts w:eastAsia="Aptos" w:cs="Times New Roman"/>
          <w:kern w:val="2"/>
          <w:szCs w:val="20"/>
          <w14:ligatures w14:val="standardContextual"/>
        </w:rPr>
        <w:t>concerning</w:t>
      </w:r>
      <w:r w:rsidRPr="00120553">
        <w:rPr>
          <w:rFonts w:eastAsia="Aptos" w:cs="Times New Roman"/>
          <w:kern w:val="2"/>
          <w:szCs w:val="20"/>
          <w14:ligatures w14:val="standardContextual"/>
        </w:rPr>
        <w:t xml:space="preserve"> AI-enabled supply chain integration and Environmental Sustainability (ES)</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where TR was found to be weaker and less predictive, signaling to the study's model an opportunity for further development.</w:t>
      </w:r>
    </w:p>
    <w:p w14:paraId="4DB72803" w14:textId="77777777" w:rsidR="00424237" w:rsidRDefault="00424237" w:rsidP="004B3681">
      <w:pPr>
        <w:spacing w:line="278" w:lineRule="auto"/>
        <w:rPr>
          <w:rFonts w:eastAsia="Aptos" w:cs="Times New Roman"/>
          <w:kern w:val="2"/>
          <w:szCs w:val="20"/>
          <w14:ligatures w14:val="standardContextual"/>
        </w:rPr>
      </w:pPr>
    </w:p>
    <w:p w14:paraId="0B9BFAB8" w14:textId="77777777" w:rsidR="00A551DA" w:rsidRDefault="00A551DA" w:rsidP="004B3681">
      <w:pPr>
        <w:spacing w:line="278" w:lineRule="auto"/>
        <w:rPr>
          <w:rFonts w:eastAsia="Aptos" w:cs="Times New Roman"/>
          <w:kern w:val="2"/>
          <w:szCs w:val="20"/>
          <w14:ligatures w14:val="standardContextual"/>
        </w:rPr>
      </w:pPr>
    </w:p>
    <w:p w14:paraId="40A8D69F" w14:textId="77777777" w:rsidR="00A551DA" w:rsidRDefault="00A551DA" w:rsidP="004B3681">
      <w:pPr>
        <w:spacing w:line="278" w:lineRule="auto"/>
        <w:rPr>
          <w:rFonts w:eastAsia="Aptos" w:cs="Times New Roman"/>
          <w:kern w:val="2"/>
          <w:szCs w:val="20"/>
          <w14:ligatures w14:val="standardContextual"/>
        </w:rPr>
      </w:pPr>
    </w:p>
    <w:p w14:paraId="12F88A07" w14:textId="77777777" w:rsidR="0097267E" w:rsidRPr="004D7A47" w:rsidRDefault="0097267E" w:rsidP="0097267E">
      <w:pPr>
        <w:rPr>
          <w:rFonts w:eastAsia="Aptos" w:cs="Times New Roman"/>
          <w:b/>
          <w:bCs/>
          <w:color w:val="C45911" w:themeColor="accent2" w:themeShade="BF"/>
          <w:kern w:val="2"/>
          <w:szCs w:val="20"/>
          <w14:ligatures w14:val="standardContextual"/>
        </w:rPr>
      </w:pPr>
      <w:r w:rsidRPr="004D7A47">
        <w:rPr>
          <w:rFonts w:eastAsia="Aptos" w:cs="Times New Roman"/>
          <w:b/>
          <w:bCs/>
          <w:color w:val="C45911" w:themeColor="accent2" w:themeShade="BF"/>
          <w:kern w:val="2"/>
          <w:szCs w:val="20"/>
          <w14:ligatures w14:val="standardContextual"/>
        </w:rPr>
        <w:lastRenderedPageBreak/>
        <w:t>5.3. Analysis of Mediation</w:t>
      </w:r>
    </w:p>
    <w:p w14:paraId="7E4D1880" w14:textId="77777777" w:rsidR="00424237" w:rsidRDefault="0097267E" w:rsidP="001C6B02">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This study explores the relationship between </w:t>
      </w:r>
      <w:r w:rsidRPr="001C6B02">
        <w:rPr>
          <w:rFonts w:eastAsia="Aptos" w:cs="Times New Roman"/>
          <w:kern w:val="2"/>
          <w:szCs w:val="20"/>
          <w14:ligatures w14:val="standardContextual"/>
        </w:rPr>
        <w:t>AI-Driven Supply Chain Integration</w:t>
      </w:r>
      <w:r w:rsidRPr="00120553">
        <w:rPr>
          <w:rFonts w:eastAsia="Aptos" w:cs="Times New Roman"/>
          <w:kern w:val="2"/>
          <w:szCs w:val="20"/>
          <w14:ligatures w14:val="standardContextual"/>
        </w:rPr>
        <w:t xml:space="preserve"> and Environmental Sustainability by analyzing the mediating effects of </w:t>
      </w:r>
      <w:r w:rsidRPr="001C6B02">
        <w:rPr>
          <w:rFonts w:eastAsia="Aptos" w:cs="Times New Roman"/>
          <w:kern w:val="2"/>
          <w:szCs w:val="20"/>
          <w14:ligatures w14:val="standardContextual"/>
        </w:rPr>
        <w:t>Technological Readiness</w:t>
      </w:r>
      <w:r w:rsidRPr="00120553">
        <w:rPr>
          <w:rFonts w:eastAsia="Aptos" w:cs="Times New Roman"/>
          <w:kern w:val="2"/>
          <w:szCs w:val="20"/>
          <w14:ligatures w14:val="standardContextual"/>
        </w:rPr>
        <w:t xml:space="preserve"> and </w:t>
      </w:r>
      <w:r w:rsidRPr="001C6B02">
        <w:rPr>
          <w:rFonts w:eastAsia="Aptos" w:cs="Times New Roman"/>
          <w:kern w:val="2"/>
          <w:szCs w:val="20"/>
          <w14:ligatures w14:val="standardContextual"/>
        </w:rPr>
        <w:t>Supply Chain Agility</w:t>
      </w:r>
      <w:r w:rsidRPr="00120553">
        <w:rPr>
          <w:rFonts w:eastAsia="Aptos" w:cs="Times New Roman"/>
          <w:kern w:val="2"/>
          <w:szCs w:val="20"/>
          <w14:ligatures w14:val="standardContextual"/>
        </w:rPr>
        <w:t>. The objective of the present study is to investigate the phenomenon under examination. A stringent methodology is employed to thoroughly investigate these mediating effects. Initially, as seen in Table 9, the calculation of individual indirect effects is conducted.</w:t>
      </w:r>
    </w:p>
    <w:p w14:paraId="37E9D036" w14:textId="77777777" w:rsidR="00424237" w:rsidRDefault="00424237" w:rsidP="001C6B02">
      <w:pPr>
        <w:rPr>
          <w:rFonts w:eastAsia="Aptos" w:cs="Times New Roman"/>
          <w:kern w:val="2"/>
          <w:szCs w:val="20"/>
          <w14:ligatures w14:val="standardContextual"/>
        </w:rPr>
      </w:pPr>
    </w:p>
    <w:p w14:paraId="63D3FD37" w14:textId="6EB1D94A" w:rsidR="0097267E" w:rsidRPr="001C6B02" w:rsidRDefault="0097267E" w:rsidP="001C6B02">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 The bootstrapping method is employed inside the Partial Least Squares (PLS) framework to rigorously assess the importance of these indirect effects. A comprehensive analysis elucidates the nature and extent of these interventions. Table 9 illustrates the correlation between </w:t>
      </w:r>
      <w:r w:rsidRPr="001C6B02">
        <w:rPr>
          <w:rFonts w:eastAsia="Aptos" w:cs="Times New Roman"/>
          <w:kern w:val="2"/>
          <w:szCs w:val="20"/>
          <w14:ligatures w14:val="standardContextual"/>
        </w:rPr>
        <w:t>AI-Driven Supply Chain Integration</w:t>
      </w:r>
      <w:r w:rsidRPr="00120553">
        <w:rPr>
          <w:rFonts w:eastAsia="Aptos" w:cs="Times New Roman"/>
          <w:kern w:val="2"/>
          <w:szCs w:val="20"/>
          <w14:ligatures w14:val="standardContextual"/>
        </w:rPr>
        <w:t xml:space="preserve"> and Environmental Sustainability, even without mediators</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t>
      </w:r>
      <w:r w:rsidRPr="001C6B02">
        <w:rPr>
          <w:rFonts w:eastAsia="Aptos" w:cs="Times New Roman"/>
          <w:kern w:val="2"/>
          <w:szCs w:val="20"/>
          <w14:ligatures w14:val="standardContextual"/>
        </w:rPr>
        <w:t>Technological Readiness</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and </w:t>
      </w:r>
      <w:r w:rsidRPr="001C6B02">
        <w:rPr>
          <w:rFonts w:eastAsia="Aptos" w:cs="Times New Roman"/>
          <w:kern w:val="2"/>
          <w:szCs w:val="20"/>
          <w14:ligatures w14:val="standardContextual"/>
        </w:rPr>
        <w:t xml:space="preserve">Supply Chain Agility. </w:t>
      </w:r>
    </w:p>
    <w:p w14:paraId="085926B1" w14:textId="77777777" w:rsidR="001C6B02" w:rsidRDefault="001C6B02" w:rsidP="00AB75AC">
      <w:pPr>
        <w:rPr>
          <w:rFonts w:eastAsia="Aptos" w:cs="Times New Roman"/>
          <w:kern w:val="2"/>
          <w:szCs w:val="20"/>
          <w14:ligatures w14:val="standardContextual"/>
        </w:rPr>
      </w:pPr>
    </w:p>
    <w:p w14:paraId="3DA1DA1C" w14:textId="694078F1" w:rsidR="0097267E" w:rsidRPr="004D7A47" w:rsidRDefault="0097267E" w:rsidP="004D7A47">
      <w:pPr>
        <w:jc w:val="center"/>
        <w:rPr>
          <w:rFonts w:eastAsia="Aptos" w:cs="Times New Roman"/>
          <w:kern w:val="2"/>
          <w:szCs w:val="20"/>
          <w14:ligatures w14:val="standardContextual"/>
        </w:rPr>
      </w:pPr>
      <w:r w:rsidRPr="004D7A47">
        <w:rPr>
          <w:rFonts w:eastAsia="Aptos" w:cs="Times New Roman"/>
          <w:b/>
          <w:bCs/>
          <w:kern w:val="2"/>
          <w:szCs w:val="20"/>
          <w14:ligatures w14:val="standardContextual"/>
        </w:rPr>
        <w:t>Table 9</w:t>
      </w:r>
      <w:r w:rsidR="0090192B">
        <w:rPr>
          <w:rFonts w:eastAsia="Aptos" w:cs="Times New Roman"/>
          <w:b/>
          <w:bCs/>
          <w:kern w:val="2"/>
          <w:szCs w:val="20"/>
          <w14:ligatures w14:val="standardContextual"/>
        </w:rPr>
        <w:t>:</w:t>
      </w:r>
      <w:r w:rsidRPr="004D7A47">
        <w:rPr>
          <w:rFonts w:eastAsia="Aptos" w:cs="Times New Roman"/>
          <w:kern w:val="2"/>
          <w:szCs w:val="20"/>
          <w14:ligatures w14:val="standardContextual"/>
        </w:rPr>
        <w:t xml:space="preserve"> For Specific </w:t>
      </w:r>
      <w:r w:rsidR="004D7A47" w:rsidRPr="004D7A47">
        <w:rPr>
          <w:rFonts w:eastAsia="Aptos" w:cs="Times New Roman"/>
          <w:kern w:val="2"/>
          <w:szCs w:val="20"/>
          <w14:ligatures w14:val="standardContextual"/>
        </w:rPr>
        <w:t>Indirect</w:t>
      </w:r>
      <w:r w:rsidRPr="004D7A47">
        <w:rPr>
          <w:rFonts w:eastAsia="Aptos" w:cs="Times New Roman"/>
          <w:kern w:val="2"/>
          <w:szCs w:val="20"/>
          <w14:ligatures w14:val="standardContextual"/>
        </w:rPr>
        <w:t xml:space="preserve"> Effect: Mediation</w:t>
      </w:r>
    </w:p>
    <w:tbl>
      <w:tblPr>
        <w:tblStyle w:val="PlainTable4"/>
        <w:tblW w:w="5004" w:type="pct"/>
        <w:tblLook w:val="04A0" w:firstRow="1" w:lastRow="0" w:firstColumn="1" w:lastColumn="0" w:noHBand="0" w:noVBand="1"/>
      </w:tblPr>
      <w:tblGrid>
        <w:gridCol w:w="3075"/>
        <w:gridCol w:w="994"/>
        <w:gridCol w:w="1331"/>
        <w:gridCol w:w="1580"/>
        <w:gridCol w:w="1017"/>
        <w:gridCol w:w="737"/>
        <w:gridCol w:w="1020"/>
      </w:tblGrid>
      <w:tr w:rsidR="0097267E" w:rsidRPr="00BF1114" w14:paraId="4937AAA4" w14:textId="77777777" w:rsidTr="004D7A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tcBorders>
              <w:top w:val="single" w:sz="12" w:space="0" w:color="auto"/>
              <w:bottom w:val="single" w:sz="8" w:space="0" w:color="auto"/>
            </w:tcBorders>
            <w:hideMark/>
          </w:tcPr>
          <w:p w14:paraId="0539474E" w14:textId="77777777" w:rsidR="0097267E" w:rsidRPr="00BF1114" w:rsidRDefault="0097267E" w:rsidP="007618DF">
            <w:pPr>
              <w:rPr>
                <w:rFonts w:eastAsia="Times New Roman" w:cs="Times New Roman"/>
                <w:szCs w:val="20"/>
              </w:rPr>
            </w:pPr>
            <w:r w:rsidRPr="00BF1114">
              <w:rPr>
                <w:rFonts w:eastAsia="Times New Roman" w:cs="Times New Roman"/>
                <w:szCs w:val="20"/>
              </w:rPr>
              <w:t>Path</w:t>
            </w:r>
          </w:p>
        </w:tc>
        <w:tc>
          <w:tcPr>
            <w:tcW w:w="176" w:type="pct"/>
            <w:tcBorders>
              <w:top w:val="single" w:sz="12" w:space="0" w:color="auto"/>
              <w:bottom w:val="single" w:sz="8" w:space="0" w:color="auto"/>
            </w:tcBorders>
            <w:hideMark/>
          </w:tcPr>
          <w:p w14:paraId="01713ABB"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Original sample (O) </w:t>
            </w:r>
          </w:p>
        </w:tc>
        <w:tc>
          <w:tcPr>
            <w:tcW w:w="738" w:type="pct"/>
            <w:tcBorders>
              <w:top w:val="single" w:sz="12" w:space="0" w:color="auto"/>
              <w:bottom w:val="single" w:sz="8" w:space="0" w:color="auto"/>
            </w:tcBorders>
            <w:hideMark/>
          </w:tcPr>
          <w:p w14:paraId="6FE6BEAB"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Standard deviation (STDEV) </w:t>
            </w:r>
          </w:p>
        </w:tc>
        <w:tc>
          <w:tcPr>
            <w:tcW w:w="866" w:type="pct"/>
            <w:tcBorders>
              <w:top w:val="single" w:sz="12" w:space="0" w:color="auto"/>
              <w:bottom w:val="single" w:sz="8" w:space="0" w:color="auto"/>
            </w:tcBorders>
            <w:hideMark/>
          </w:tcPr>
          <w:p w14:paraId="022DA2CF"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T statistics (|O/STDEV|) </w:t>
            </w:r>
          </w:p>
        </w:tc>
        <w:tc>
          <w:tcPr>
            <w:tcW w:w="577" w:type="pct"/>
            <w:tcBorders>
              <w:top w:val="single" w:sz="12" w:space="0" w:color="auto"/>
              <w:bottom w:val="single" w:sz="8" w:space="0" w:color="auto"/>
            </w:tcBorders>
            <w:hideMark/>
          </w:tcPr>
          <w:p w14:paraId="2BCB8171"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Times New Roman" w:cs="Times New Roman"/>
                <w:bCs w:val="0"/>
                <w:szCs w:val="20"/>
              </w:rPr>
              <w:t xml:space="preserve">P values </w:t>
            </w:r>
          </w:p>
        </w:tc>
        <w:tc>
          <w:tcPr>
            <w:tcW w:w="433" w:type="pct"/>
            <w:tcBorders>
              <w:top w:val="single" w:sz="12" w:space="0" w:color="auto"/>
              <w:bottom w:val="single" w:sz="8" w:space="0" w:color="auto"/>
            </w:tcBorders>
          </w:tcPr>
          <w:p w14:paraId="3931A644"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Aptos" w:cs="Times New Roman"/>
                <w:bCs w:val="0"/>
                <w:szCs w:val="20"/>
              </w:rPr>
              <w:t xml:space="preserve">2.5% </w:t>
            </w:r>
          </w:p>
        </w:tc>
        <w:tc>
          <w:tcPr>
            <w:tcW w:w="578" w:type="pct"/>
            <w:tcBorders>
              <w:top w:val="single" w:sz="12" w:space="0" w:color="auto"/>
              <w:bottom w:val="single" w:sz="8" w:space="0" w:color="auto"/>
            </w:tcBorders>
          </w:tcPr>
          <w:p w14:paraId="40C463DB" w14:textId="77777777" w:rsidR="0097267E" w:rsidRPr="00BF1114" w:rsidRDefault="0097267E" w:rsidP="007618DF">
            <w:pP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0"/>
              </w:rPr>
            </w:pPr>
            <w:r w:rsidRPr="00BF1114">
              <w:rPr>
                <w:rFonts w:eastAsia="Aptos" w:cs="Times New Roman"/>
                <w:bCs w:val="0"/>
                <w:szCs w:val="20"/>
              </w:rPr>
              <w:t xml:space="preserve">97.5% </w:t>
            </w:r>
          </w:p>
        </w:tc>
      </w:tr>
      <w:tr w:rsidR="0097267E" w:rsidRPr="00BF1114" w14:paraId="0175CE9E" w14:textId="77777777" w:rsidTr="004D7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tcBorders>
              <w:top w:val="single" w:sz="8" w:space="0" w:color="auto"/>
            </w:tcBorders>
            <w:hideMark/>
          </w:tcPr>
          <w:p w14:paraId="779A267F"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AI-SCI_ -&gt; TR_ -&gt; ES_ </w:t>
            </w:r>
          </w:p>
        </w:tc>
        <w:tc>
          <w:tcPr>
            <w:tcW w:w="176" w:type="pct"/>
            <w:tcBorders>
              <w:top w:val="single" w:sz="8" w:space="0" w:color="auto"/>
            </w:tcBorders>
            <w:hideMark/>
          </w:tcPr>
          <w:p w14:paraId="6FC3DCEE"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0.217 </w:t>
            </w:r>
          </w:p>
        </w:tc>
        <w:tc>
          <w:tcPr>
            <w:tcW w:w="738" w:type="pct"/>
            <w:tcBorders>
              <w:top w:val="single" w:sz="8" w:space="0" w:color="auto"/>
            </w:tcBorders>
            <w:hideMark/>
          </w:tcPr>
          <w:p w14:paraId="47FF8DF9"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0.066 </w:t>
            </w:r>
          </w:p>
        </w:tc>
        <w:tc>
          <w:tcPr>
            <w:tcW w:w="866" w:type="pct"/>
            <w:tcBorders>
              <w:top w:val="single" w:sz="8" w:space="0" w:color="auto"/>
            </w:tcBorders>
            <w:hideMark/>
          </w:tcPr>
          <w:p w14:paraId="31F65882"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3.264 </w:t>
            </w:r>
          </w:p>
        </w:tc>
        <w:tc>
          <w:tcPr>
            <w:tcW w:w="577" w:type="pct"/>
            <w:tcBorders>
              <w:top w:val="single" w:sz="8" w:space="0" w:color="auto"/>
            </w:tcBorders>
            <w:hideMark/>
          </w:tcPr>
          <w:p w14:paraId="52AE3EE7"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0.001 </w:t>
            </w:r>
          </w:p>
        </w:tc>
        <w:tc>
          <w:tcPr>
            <w:tcW w:w="433" w:type="pct"/>
            <w:tcBorders>
              <w:top w:val="single" w:sz="8" w:space="0" w:color="auto"/>
            </w:tcBorders>
          </w:tcPr>
          <w:p w14:paraId="01B00F4B"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Aptos" w:cs="Times New Roman"/>
                <w:szCs w:val="20"/>
              </w:rPr>
              <w:t xml:space="preserve">0.089 </w:t>
            </w:r>
          </w:p>
        </w:tc>
        <w:tc>
          <w:tcPr>
            <w:tcW w:w="578" w:type="pct"/>
            <w:tcBorders>
              <w:top w:val="single" w:sz="8" w:space="0" w:color="auto"/>
            </w:tcBorders>
          </w:tcPr>
          <w:p w14:paraId="5A476EE3" w14:textId="77777777" w:rsidR="0097267E" w:rsidRPr="00BF1114" w:rsidRDefault="0097267E" w:rsidP="007618DF">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BF1114">
              <w:rPr>
                <w:rFonts w:eastAsia="Aptos" w:cs="Times New Roman"/>
                <w:szCs w:val="20"/>
              </w:rPr>
              <w:t xml:space="preserve">0.350 </w:t>
            </w:r>
          </w:p>
        </w:tc>
      </w:tr>
      <w:tr w:rsidR="0097267E" w:rsidRPr="00BF1114" w14:paraId="754B1624" w14:textId="77777777" w:rsidTr="004D7A47">
        <w:tc>
          <w:tcPr>
            <w:cnfStyle w:val="001000000000" w:firstRow="0" w:lastRow="0" w:firstColumn="1" w:lastColumn="0" w:oddVBand="0" w:evenVBand="0" w:oddHBand="0" w:evenHBand="0" w:firstRowFirstColumn="0" w:firstRowLastColumn="0" w:lastRowFirstColumn="0" w:lastRowLastColumn="0"/>
            <w:tcW w:w="1632" w:type="pct"/>
            <w:tcBorders>
              <w:bottom w:val="single" w:sz="12" w:space="0" w:color="auto"/>
            </w:tcBorders>
            <w:hideMark/>
          </w:tcPr>
          <w:p w14:paraId="1F8426D8" w14:textId="77777777" w:rsidR="0097267E" w:rsidRPr="00BF1114" w:rsidRDefault="0097267E" w:rsidP="007618DF">
            <w:pPr>
              <w:rPr>
                <w:rFonts w:eastAsia="Times New Roman" w:cs="Times New Roman"/>
                <w:bCs w:val="0"/>
                <w:szCs w:val="20"/>
              </w:rPr>
            </w:pPr>
            <w:r w:rsidRPr="00BF1114">
              <w:rPr>
                <w:rFonts w:eastAsia="Times New Roman" w:cs="Times New Roman"/>
                <w:bCs w:val="0"/>
                <w:szCs w:val="20"/>
              </w:rPr>
              <w:t xml:space="preserve">AI-SCI_ -&gt; SCA_ -&gt; ES_ </w:t>
            </w:r>
          </w:p>
        </w:tc>
        <w:tc>
          <w:tcPr>
            <w:tcW w:w="176" w:type="pct"/>
            <w:tcBorders>
              <w:bottom w:val="single" w:sz="12" w:space="0" w:color="auto"/>
            </w:tcBorders>
            <w:hideMark/>
          </w:tcPr>
          <w:p w14:paraId="2BD2DCBA"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0.189 </w:t>
            </w:r>
          </w:p>
        </w:tc>
        <w:tc>
          <w:tcPr>
            <w:tcW w:w="738" w:type="pct"/>
            <w:tcBorders>
              <w:bottom w:val="single" w:sz="12" w:space="0" w:color="auto"/>
            </w:tcBorders>
            <w:hideMark/>
          </w:tcPr>
          <w:p w14:paraId="536A89A6"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0.074 </w:t>
            </w:r>
          </w:p>
        </w:tc>
        <w:tc>
          <w:tcPr>
            <w:tcW w:w="866" w:type="pct"/>
            <w:tcBorders>
              <w:bottom w:val="single" w:sz="12" w:space="0" w:color="auto"/>
            </w:tcBorders>
            <w:hideMark/>
          </w:tcPr>
          <w:p w14:paraId="392F7EBB"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2.562 </w:t>
            </w:r>
          </w:p>
        </w:tc>
        <w:tc>
          <w:tcPr>
            <w:tcW w:w="577" w:type="pct"/>
            <w:tcBorders>
              <w:bottom w:val="single" w:sz="12" w:space="0" w:color="auto"/>
            </w:tcBorders>
            <w:hideMark/>
          </w:tcPr>
          <w:p w14:paraId="6E1DB0C9"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Times New Roman" w:cs="Times New Roman"/>
                <w:szCs w:val="20"/>
              </w:rPr>
              <w:t xml:space="preserve">0.010 </w:t>
            </w:r>
          </w:p>
        </w:tc>
        <w:tc>
          <w:tcPr>
            <w:tcW w:w="433" w:type="pct"/>
            <w:tcBorders>
              <w:bottom w:val="single" w:sz="12" w:space="0" w:color="auto"/>
            </w:tcBorders>
          </w:tcPr>
          <w:p w14:paraId="0413FB98"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Aptos" w:cs="Times New Roman"/>
                <w:szCs w:val="20"/>
              </w:rPr>
              <w:t xml:space="preserve">0.043 </w:t>
            </w:r>
          </w:p>
        </w:tc>
        <w:tc>
          <w:tcPr>
            <w:tcW w:w="578" w:type="pct"/>
            <w:tcBorders>
              <w:bottom w:val="single" w:sz="12" w:space="0" w:color="auto"/>
            </w:tcBorders>
          </w:tcPr>
          <w:p w14:paraId="0DA7B157" w14:textId="77777777" w:rsidR="0097267E" w:rsidRPr="00BF1114" w:rsidRDefault="0097267E" w:rsidP="007618D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BF1114">
              <w:rPr>
                <w:rFonts w:eastAsia="Aptos" w:cs="Times New Roman"/>
                <w:szCs w:val="20"/>
              </w:rPr>
              <w:t xml:space="preserve">0.334 </w:t>
            </w:r>
          </w:p>
        </w:tc>
      </w:tr>
    </w:tbl>
    <w:p w14:paraId="5C9D647A" w14:textId="77777777" w:rsidR="0097267E" w:rsidRPr="00120553" w:rsidRDefault="0097267E" w:rsidP="0097267E">
      <w:pPr>
        <w:rPr>
          <w:rFonts w:eastAsia="Aptos" w:cs="Times New Roman"/>
          <w:kern w:val="2"/>
          <w:szCs w:val="20"/>
          <w14:ligatures w14:val="standardContextual"/>
        </w:rPr>
      </w:pPr>
    </w:p>
    <w:p w14:paraId="1ED52687" w14:textId="66DA4D09" w:rsidR="0097267E" w:rsidRDefault="0097267E" w:rsidP="004D7A47">
      <w:pPr>
        <w:rPr>
          <w:rFonts w:eastAsia="Aptos" w:cs="Times New Roman"/>
          <w:kern w:val="2"/>
          <w:szCs w:val="20"/>
          <w:lang w:val="en"/>
          <w14:ligatures w14:val="standardContextual"/>
        </w:rPr>
      </w:pPr>
      <w:r w:rsidRPr="00120553">
        <w:rPr>
          <w:rFonts w:eastAsia="Aptos" w:cs="Times New Roman"/>
          <w:kern w:val="2"/>
          <w:szCs w:val="20"/>
          <w14:ligatures w14:val="standardContextual"/>
        </w:rPr>
        <w:t>Nevertheless, the inclusion of the mediators—</w:t>
      </w:r>
      <w:r w:rsidRPr="00120553">
        <w:rPr>
          <w:rFonts w:eastAsia="Aptos" w:cs="Times New Roman"/>
          <w:bCs/>
          <w:kern w:val="2"/>
          <w:szCs w:val="20"/>
          <w14:ligatures w14:val="standardContextual"/>
        </w:rPr>
        <w:t xml:space="preserve"> Technological Readiness</w:t>
      </w:r>
      <w:r w:rsidRPr="00120553">
        <w:rPr>
          <w:rFonts w:eastAsia="Aptos" w:cs="Times New Roman"/>
          <w:kern w:val="2"/>
          <w:szCs w:val="20"/>
          <w14:ligatures w14:val="standardContextual"/>
        </w:rPr>
        <w:t xml:space="preserve"> and </w:t>
      </w:r>
      <w:r w:rsidRPr="00120553">
        <w:rPr>
          <w:rFonts w:eastAsia="Aptos" w:cs="Times New Roman"/>
          <w:bCs/>
          <w:kern w:val="2"/>
          <w:szCs w:val="20"/>
          <w14:ligatures w14:val="standardContextual"/>
        </w:rPr>
        <w:t>Supply Chain Agility</w:t>
      </w:r>
      <w:r w:rsidRPr="00120553">
        <w:rPr>
          <w:rFonts w:eastAsia="Aptos" w:cs="Times New Roman"/>
          <w:kern w:val="2"/>
          <w:szCs w:val="20"/>
          <w14:ligatures w14:val="standardContextual"/>
        </w:rPr>
        <w:t xml:space="preserve"> —preserves the significance of this connection. This approach emphasizes the significance of several mediators, particularly </w:t>
      </w:r>
      <w:r w:rsidRPr="00120553">
        <w:rPr>
          <w:rFonts w:eastAsia="Aptos" w:cs="Times New Roman"/>
          <w:bCs/>
          <w:kern w:val="2"/>
          <w:szCs w:val="20"/>
          <w14:ligatures w14:val="standardContextual"/>
        </w:rPr>
        <w:t>Technological Readiness</w:t>
      </w:r>
      <w:r w:rsidRPr="00120553">
        <w:rPr>
          <w:rFonts w:eastAsia="Aptos" w:cs="Times New Roman"/>
          <w:kern w:val="2"/>
          <w:szCs w:val="20"/>
          <w14:ligatures w14:val="standardContextual"/>
        </w:rPr>
        <w:t xml:space="preserve"> and </w:t>
      </w:r>
      <w:r w:rsidRPr="00120553">
        <w:rPr>
          <w:rFonts w:eastAsia="Aptos" w:cs="Times New Roman"/>
          <w:bCs/>
          <w:kern w:val="2"/>
          <w:szCs w:val="20"/>
          <w14:ligatures w14:val="standardContextual"/>
        </w:rPr>
        <w:t>Supply Chain Agility</w:t>
      </w:r>
      <w:r w:rsidRPr="00120553">
        <w:rPr>
          <w:rFonts w:eastAsia="Aptos" w:cs="Times New Roman"/>
          <w:kern w:val="2"/>
          <w:szCs w:val="20"/>
          <w14:ligatures w14:val="standardContextual"/>
        </w:rPr>
        <w:t xml:space="preserve">, where the </w:t>
      </w:r>
      <w:r w:rsidRPr="00120553">
        <w:rPr>
          <w:rFonts w:eastAsia="Aptos" w:cs="Times New Roman"/>
          <w:kern w:val="2"/>
          <w:szCs w:val="20"/>
          <w:lang w:val="en"/>
          <w14:ligatures w14:val="standardContextual"/>
        </w:rPr>
        <w:t>relationship</w:t>
      </w:r>
      <w:r w:rsidRPr="00120553">
        <w:rPr>
          <w:rFonts w:eastAsia="Aptos" w:cs="Times New Roman"/>
          <w:kern w:val="2"/>
          <w:szCs w:val="20"/>
          <w14:ligatures w14:val="standardContextual"/>
        </w:rPr>
        <w:t xml:space="preserve"> between </w:t>
      </w:r>
      <w:r w:rsidRPr="00120553">
        <w:rPr>
          <w:rFonts w:eastAsia="Aptos" w:cs="Times New Roman"/>
          <w:bCs/>
          <w:kern w:val="2"/>
          <w:szCs w:val="20"/>
          <w14:ligatures w14:val="standardContextual"/>
        </w:rPr>
        <w:t>AI-Driven Supply Chain Integration</w:t>
      </w:r>
      <w:r w:rsidRPr="00120553">
        <w:rPr>
          <w:rFonts w:eastAsia="Aptos" w:cs="Times New Roman"/>
          <w:kern w:val="2"/>
          <w:szCs w:val="20"/>
          <w14:ligatures w14:val="standardContextual"/>
        </w:rPr>
        <w:t xml:space="preserve"> and Environmental Sustainability is positively mediated by </w:t>
      </w:r>
      <w:r w:rsidRPr="00120553">
        <w:rPr>
          <w:rFonts w:eastAsia="Aptos" w:cs="Times New Roman"/>
          <w:bCs/>
          <w:kern w:val="2"/>
          <w:szCs w:val="20"/>
          <w14:ligatures w14:val="standardContextual"/>
        </w:rPr>
        <w:t xml:space="preserve">Technological </w:t>
      </w:r>
      <w:r w:rsidR="00A32B07" w:rsidRPr="00120553">
        <w:rPr>
          <w:rFonts w:eastAsia="Aptos" w:cs="Times New Roman"/>
          <w:bCs/>
          <w:kern w:val="2"/>
          <w:szCs w:val="20"/>
          <w14:ligatures w14:val="standardContextual"/>
        </w:rPr>
        <w:t>Readiness</w:t>
      </w:r>
      <w:r w:rsidR="00A32B07" w:rsidRPr="00120553">
        <w:rPr>
          <w:rFonts w:eastAsia="Aptos" w:cs="Times New Roman"/>
          <w:kern w:val="2"/>
          <w:szCs w:val="20"/>
          <w14:ligatures w14:val="standardContextual"/>
        </w:rPr>
        <w:t xml:space="preserve"> (</w:t>
      </w:r>
      <w:r w:rsidRPr="00120553">
        <w:rPr>
          <w:rFonts w:eastAsia="Aptos" w:cs="Times New Roman"/>
          <w:kern w:val="2"/>
          <w:szCs w:val="20"/>
          <w14:ligatures w14:val="standardContextual"/>
        </w:rPr>
        <w:t xml:space="preserve">beta = 0.217, t value = 3.264, p-value = 0.000) and </w:t>
      </w:r>
      <w:r w:rsidRPr="00120553">
        <w:rPr>
          <w:rFonts w:eastAsia="Aptos" w:cs="Times New Roman"/>
          <w:bCs/>
          <w:kern w:val="2"/>
          <w:szCs w:val="20"/>
          <w14:ligatures w14:val="standardContextual"/>
        </w:rPr>
        <w:t>Supply Chain Agility</w:t>
      </w:r>
      <w:r w:rsidRPr="00120553">
        <w:rPr>
          <w:rFonts w:eastAsia="Aptos" w:cs="Times New Roman"/>
          <w:kern w:val="2"/>
          <w:szCs w:val="20"/>
          <w:lang w:val="en"/>
          <w14:ligatures w14:val="standardContextual"/>
        </w:rPr>
        <w:t xml:space="preserve"> </w:t>
      </w:r>
      <w:r w:rsidRPr="00120553">
        <w:rPr>
          <w:rFonts w:eastAsia="Aptos" w:cs="Times New Roman"/>
          <w:kern w:val="2"/>
          <w:szCs w:val="20"/>
          <w14:ligatures w14:val="standardContextual"/>
        </w:rPr>
        <w:t xml:space="preserve">(beta = 0.189, t value = 2.562, p-value = 0.010). </w:t>
      </w:r>
      <w:r w:rsidRPr="00120553">
        <w:rPr>
          <w:rFonts w:eastAsia="Aptos" w:cs="Times New Roman"/>
          <w:kern w:val="2"/>
          <w:szCs w:val="20"/>
          <w:lang w:val="en"/>
          <w14:ligatures w14:val="standardContextual"/>
        </w:rPr>
        <w:t>This finding provides valuable insights into the complex</w:t>
      </w:r>
      <w:r w:rsidR="004D7A47">
        <w:rPr>
          <w:rFonts w:eastAsia="Aptos" w:cs="Times New Roman"/>
          <w:kern w:val="2"/>
          <w:szCs w:val="20"/>
          <w:lang w:val="en"/>
          <w14:ligatures w14:val="standardContextual"/>
        </w:rPr>
        <w:t>.</w:t>
      </w:r>
    </w:p>
    <w:p w14:paraId="7A2A6D2F" w14:textId="77777777" w:rsidR="004D7A47" w:rsidRPr="004D7A47" w:rsidRDefault="004D7A47" w:rsidP="004D7A47">
      <w:pPr>
        <w:rPr>
          <w:rFonts w:eastAsia="Aptos" w:cs="Times New Roman"/>
          <w:kern w:val="2"/>
          <w:szCs w:val="20"/>
          <w:lang w:val="en"/>
          <w14:ligatures w14:val="standardContextual"/>
        </w:rPr>
      </w:pPr>
    </w:p>
    <w:p w14:paraId="6B10D71C" w14:textId="77777777" w:rsidR="0097267E" w:rsidRDefault="0097267E" w:rsidP="0097267E">
      <w:pPr>
        <w:rPr>
          <w:rFonts w:eastAsia="Aptos" w:cs="Times New Roman"/>
          <w:b/>
          <w:bCs/>
          <w:color w:val="C45911" w:themeColor="accent2" w:themeShade="BF"/>
          <w:kern w:val="2"/>
          <w:szCs w:val="20"/>
          <w14:ligatures w14:val="standardContextual"/>
        </w:rPr>
      </w:pPr>
      <w:r w:rsidRPr="003D655E">
        <w:rPr>
          <w:rFonts w:eastAsia="Aptos" w:cs="Times New Roman"/>
          <w:b/>
          <w:bCs/>
          <w:color w:val="C45911" w:themeColor="accent2" w:themeShade="BF"/>
          <w:kern w:val="2"/>
          <w:szCs w:val="20"/>
          <w14:ligatures w14:val="standardContextual"/>
        </w:rPr>
        <w:t>6. Discussion</w:t>
      </w:r>
    </w:p>
    <w:p w14:paraId="504D62C7" w14:textId="77777777" w:rsidR="00424237" w:rsidRDefault="0097267E" w:rsidP="001C6B02">
      <w:pPr>
        <w:spacing w:after="240"/>
        <w:rPr>
          <w:rFonts w:eastAsia="Aptos" w:cs="Times New Roman"/>
          <w:kern w:val="2"/>
          <w:szCs w:val="20"/>
          <w14:ligatures w14:val="standardContextual"/>
        </w:rPr>
      </w:pPr>
      <w:r w:rsidRPr="00120553">
        <w:rPr>
          <w:rFonts w:eastAsia="Aptos" w:cs="Times New Roman"/>
          <w:kern w:val="2"/>
          <w:szCs w:val="20"/>
          <w14:ligatures w14:val="standardContextual"/>
        </w:rPr>
        <w:t xml:space="preserve">The result of this study advances the understanding of the impact of AI-powered supply chain integration on </w:t>
      </w:r>
      <w:r w:rsidR="004D7A47">
        <w:rPr>
          <w:rFonts w:eastAsia="Aptos" w:cs="Times New Roman"/>
          <w:kern w:val="2"/>
          <w:szCs w:val="20"/>
          <w14:ligatures w14:val="standardContextual"/>
        </w:rPr>
        <w:t xml:space="preserve">the </w:t>
      </w:r>
      <w:r w:rsidRPr="00120553">
        <w:rPr>
          <w:rFonts w:eastAsia="Aptos" w:cs="Times New Roman"/>
          <w:kern w:val="2"/>
          <w:szCs w:val="20"/>
          <w14:ligatures w14:val="standardContextual"/>
        </w:rPr>
        <w:t xml:space="preserve">environmental sustainability of the RMG sector in Bangladesh through technological readiness and supply chain agility. </w:t>
      </w:r>
    </w:p>
    <w:p w14:paraId="4A1E1A96" w14:textId="43D356FE" w:rsidR="0097267E" w:rsidRPr="0097267E" w:rsidRDefault="0097267E" w:rsidP="001C6B02">
      <w:pPr>
        <w:spacing w:after="240"/>
        <w:rPr>
          <w:rFonts w:eastAsia="Aptos" w:cs="Times New Roman"/>
          <w:b/>
          <w:bCs/>
          <w:color w:val="C45911" w:themeColor="accent2" w:themeShade="BF"/>
          <w:kern w:val="2"/>
          <w:szCs w:val="20"/>
          <w14:ligatures w14:val="standardContextual"/>
        </w:rPr>
      </w:pPr>
      <w:r w:rsidRPr="00120553">
        <w:rPr>
          <w:rFonts w:eastAsia="Aptos" w:cs="Times New Roman"/>
          <w:kern w:val="2"/>
          <w:szCs w:val="20"/>
          <w14:ligatures w14:val="standardContextual"/>
        </w:rPr>
        <w:t xml:space="preserve">The findings help understand how the integration of AI can aid in achieving sustainable measures while simultaneously underlining the important mediating effects of TR and SCA. This discussion elaborated on the primary findings and their implications </w:t>
      </w:r>
      <w:r w:rsidR="004D7A47">
        <w:rPr>
          <w:rFonts w:eastAsia="Aptos" w:cs="Times New Roman"/>
          <w:kern w:val="2"/>
          <w:szCs w:val="20"/>
          <w14:ligatures w14:val="standardContextual"/>
        </w:rPr>
        <w:t>for</w:t>
      </w:r>
      <w:r w:rsidRPr="00120553">
        <w:rPr>
          <w:rFonts w:eastAsia="Aptos" w:cs="Times New Roman"/>
          <w:kern w:val="2"/>
          <w:szCs w:val="20"/>
          <w14:ligatures w14:val="standardContextual"/>
        </w:rPr>
        <w:t xml:space="preserve"> the extant literature</w:t>
      </w:r>
      <w:r w:rsidR="004D7A47">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along with the drawbacks and suggestions for future studies.</w:t>
      </w:r>
    </w:p>
    <w:p w14:paraId="1DE04BAA" w14:textId="77777777" w:rsidR="00424237" w:rsidRDefault="0097267E" w:rsidP="001C6B02">
      <w:pPr>
        <w:rPr>
          <w:rFonts w:eastAsia="Aptos" w:cs="Times New Roman"/>
          <w:kern w:val="2"/>
          <w:szCs w:val="20"/>
          <w14:ligatures w14:val="standardContextual"/>
        </w:rPr>
      </w:pPr>
      <w:r w:rsidRPr="00120553">
        <w:rPr>
          <w:rFonts w:eastAsia="Aptos" w:cs="Times New Roman"/>
          <w:kern w:val="2"/>
          <w:szCs w:val="20"/>
          <w14:ligatures w14:val="standardContextual"/>
        </w:rPr>
        <w:t>The study indicates a positive relationship between AI-Driven Supply Chain Integration and Environmental Sustainability that is also statistically significant (β = 0.229, p &lt; 0.000). This underscores the importance of AI in supply chain management</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as highlighted by previous studies such as Wang et al. (2023) and Khan &amp; Islam (2023)</w:t>
      </w:r>
      <w:r w:rsidR="001C6B02">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t>
      </w:r>
      <w:r w:rsidR="001C6B02">
        <w:rPr>
          <w:rFonts w:eastAsia="Aptos" w:cs="Times New Roman"/>
          <w:kern w:val="2"/>
          <w:szCs w:val="20"/>
          <w14:ligatures w14:val="standardContextual"/>
        </w:rPr>
        <w:t>which</w:t>
      </w:r>
      <w:r w:rsidRPr="00120553">
        <w:rPr>
          <w:rFonts w:eastAsia="Aptos" w:cs="Times New Roman"/>
          <w:kern w:val="2"/>
          <w:szCs w:val="20"/>
          <w14:ligatures w14:val="standardContextual"/>
        </w:rPr>
        <w:t xml:space="preserve"> explains the role of AI in waste optimization and resource utilization. </w:t>
      </w:r>
    </w:p>
    <w:p w14:paraId="24ABC501" w14:textId="77777777" w:rsidR="00424237" w:rsidRDefault="00424237" w:rsidP="001C6B02">
      <w:pPr>
        <w:rPr>
          <w:rFonts w:eastAsia="Aptos" w:cs="Times New Roman"/>
          <w:kern w:val="2"/>
          <w:szCs w:val="20"/>
          <w14:ligatures w14:val="standardContextual"/>
        </w:rPr>
      </w:pPr>
    </w:p>
    <w:p w14:paraId="7FEEC488" w14:textId="40C36FFB" w:rsidR="0097267E" w:rsidRDefault="0097267E" w:rsidP="001C6B02">
      <w:pPr>
        <w:rPr>
          <w:rFonts w:eastAsia="Aptos" w:cs="Times New Roman"/>
          <w:kern w:val="2"/>
          <w:szCs w:val="20"/>
          <w14:ligatures w14:val="standardContextual"/>
        </w:rPr>
      </w:pPr>
      <w:r w:rsidRPr="00120553">
        <w:rPr>
          <w:rFonts w:eastAsia="Aptos" w:cs="Times New Roman"/>
          <w:kern w:val="2"/>
          <w:szCs w:val="20"/>
          <w14:ligatures w14:val="standardContextual"/>
        </w:rPr>
        <w:t>The advanced capabilities of AI technologies for real-time data processing, predictive analytics</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and automation are crucial for sustainable supply chain practices, for example, in controlling inventory and preventing overstocking and reducing waste </w:t>
      </w:r>
      <w:r w:rsidR="000A5999">
        <w:rPr>
          <w:rFonts w:eastAsia="Aptos" w:cs="Times New Roman"/>
          <w:kern w:val="2"/>
          <w:szCs w:val="20"/>
          <w14:ligatures w14:val="standardContextual"/>
        </w:rPr>
        <w:t>[66]</w:t>
      </w:r>
      <w:r w:rsidRPr="00120553">
        <w:rPr>
          <w:rFonts w:eastAsia="Aptos" w:cs="Times New Roman"/>
          <w:kern w:val="2"/>
          <w:szCs w:val="20"/>
          <w14:ligatures w14:val="standardContextual"/>
        </w:rPr>
        <w:t>.</w:t>
      </w:r>
    </w:p>
    <w:p w14:paraId="332D92CE" w14:textId="77777777" w:rsidR="0097267E" w:rsidRPr="00120553" w:rsidRDefault="0097267E" w:rsidP="001C6B02">
      <w:pPr>
        <w:rPr>
          <w:rFonts w:eastAsia="Aptos" w:cs="Times New Roman"/>
          <w:kern w:val="2"/>
          <w:szCs w:val="20"/>
          <w14:ligatures w14:val="standardContextual"/>
        </w:rPr>
      </w:pPr>
    </w:p>
    <w:p w14:paraId="70E8E2E8" w14:textId="77777777" w:rsidR="00424237" w:rsidRDefault="0097267E" w:rsidP="001C6B02">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Additionally, it is found in the study that Supply Chain Agility (β = 0.813, p &lt; 0.00) and Technological Readiness (β = 0.793, p &lt; 0.001) mediate significantly the relationship between AI-SCI and ES. The most notable medication of SCA suggests that AI integration tends to expand supply chains' responsiveness to market changes, disruptions, and sustainable environmental challenges </w:t>
      </w:r>
      <w:r w:rsidR="001C6B02">
        <w:rPr>
          <w:rFonts w:eastAsia="Aptos" w:cs="Times New Roman"/>
          <w:kern w:val="2"/>
          <w:szCs w:val="20"/>
          <w14:ligatures w14:val="standardContextual"/>
        </w:rPr>
        <w:t>[64]</w:t>
      </w:r>
      <w:r w:rsidRPr="00120553">
        <w:rPr>
          <w:rFonts w:eastAsia="Aptos" w:cs="Times New Roman"/>
          <w:kern w:val="2"/>
          <w:szCs w:val="20"/>
          <w14:ligatures w14:val="standardContextual"/>
        </w:rPr>
        <w:t>.</w:t>
      </w:r>
    </w:p>
    <w:p w14:paraId="468A09B1" w14:textId="77777777" w:rsidR="00424237" w:rsidRDefault="00424237" w:rsidP="001C6B02">
      <w:pPr>
        <w:rPr>
          <w:rFonts w:eastAsia="Aptos" w:cs="Times New Roman"/>
          <w:kern w:val="2"/>
          <w:szCs w:val="20"/>
          <w14:ligatures w14:val="standardContextual"/>
        </w:rPr>
      </w:pPr>
    </w:p>
    <w:p w14:paraId="620C4D56" w14:textId="283E6CF4" w:rsidR="003E5379" w:rsidRPr="00120553" w:rsidRDefault="0097267E" w:rsidP="001C6B02">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 For instance, AI can increase accuracy in forecasting demand, thus allowing firms to modify production schedules in a way that minimizes excess inventories. This leads to less waste and less environmental degradation.</w:t>
      </w:r>
    </w:p>
    <w:p w14:paraId="5C8C1962" w14:textId="296D5053" w:rsidR="0097267E" w:rsidRDefault="0097267E" w:rsidP="001C6B02">
      <w:pPr>
        <w:rPr>
          <w:rFonts w:eastAsia="Aptos" w:cs="Times New Roman"/>
          <w:kern w:val="2"/>
          <w:szCs w:val="20"/>
          <w14:ligatures w14:val="standardContextual"/>
        </w:rPr>
      </w:pPr>
      <w:r w:rsidRPr="00120553">
        <w:rPr>
          <w:rFonts w:eastAsia="Aptos" w:cs="Times New Roman"/>
          <w:kern w:val="2"/>
          <w:szCs w:val="20"/>
          <w14:ligatures w14:val="standardContextual"/>
        </w:rPr>
        <w:lastRenderedPageBreak/>
        <w:t xml:space="preserve">By the same token, the mediating effect of TR illustrates how organizational readiness may be utilized in the adoption of AI technologies for sustainable business practices </w:t>
      </w:r>
      <w:r w:rsidR="001C6B02">
        <w:rPr>
          <w:rFonts w:eastAsia="Aptos" w:cs="Times New Roman"/>
          <w:kern w:val="2"/>
          <w:szCs w:val="20"/>
          <w14:ligatures w14:val="standardContextual"/>
        </w:rPr>
        <w:t>[65]</w:t>
      </w:r>
      <w:r w:rsidRPr="00120553">
        <w:rPr>
          <w:rFonts w:eastAsia="Aptos" w:cs="Times New Roman"/>
          <w:kern w:val="2"/>
          <w:szCs w:val="20"/>
          <w14:ligatures w14:val="standardContextual"/>
        </w:rPr>
        <w:t xml:space="preserve">. Firms that are deemed to </w:t>
      </w:r>
      <w:r w:rsidR="001C6B02">
        <w:rPr>
          <w:rFonts w:eastAsia="Aptos" w:cs="Times New Roman"/>
          <w:kern w:val="2"/>
          <w:szCs w:val="20"/>
          <w14:ligatures w14:val="standardContextual"/>
        </w:rPr>
        <w:t>possess TR</w:t>
      </w:r>
      <w:r w:rsidRPr="00120553">
        <w:rPr>
          <w:rFonts w:eastAsia="Aptos" w:cs="Times New Roman"/>
          <w:kern w:val="2"/>
          <w:szCs w:val="20"/>
          <w14:ligatures w14:val="standardContextual"/>
        </w:rPr>
        <w:t xml:space="preserve"> are more likely to use AI technologies, which boosts supply chain performance and sustainability, as the organization becomes able to efficiently implement the technologies. This is in accordance with the Technology-Organization-Environment (TOE) framework that claims technological readiness as one of the determinants that can greatly impact the integration of innovations within organizations </w:t>
      </w:r>
      <w:r w:rsidR="001C6B02">
        <w:rPr>
          <w:rFonts w:eastAsia="Aptos" w:cs="Times New Roman"/>
          <w:kern w:val="2"/>
          <w:szCs w:val="20"/>
          <w14:ligatures w14:val="standardContextual"/>
        </w:rPr>
        <w:t>[66]</w:t>
      </w:r>
      <w:r w:rsidRPr="00120553">
        <w:rPr>
          <w:rFonts w:eastAsia="Aptos" w:cs="Times New Roman"/>
          <w:kern w:val="2"/>
          <w:szCs w:val="20"/>
          <w14:ligatures w14:val="standardContextual"/>
        </w:rPr>
        <w:t>.</w:t>
      </w:r>
    </w:p>
    <w:p w14:paraId="3996B0C3" w14:textId="77777777" w:rsidR="0097267E" w:rsidRPr="00120553" w:rsidRDefault="0097267E" w:rsidP="001C6B02">
      <w:pPr>
        <w:rPr>
          <w:rFonts w:eastAsia="Aptos" w:cs="Times New Roman"/>
          <w:kern w:val="2"/>
          <w:szCs w:val="20"/>
          <w14:ligatures w14:val="standardContextual"/>
        </w:rPr>
      </w:pPr>
    </w:p>
    <w:p w14:paraId="59AE46D9" w14:textId="77777777" w:rsidR="00424237" w:rsidRDefault="0097267E" w:rsidP="00311201">
      <w:pPr>
        <w:rPr>
          <w:rFonts w:eastAsia="Aptos" w:cs="Times New Roman"/>
          <w:kern w:val="2"/>
          <w:szCs w:val="20"/>
          <w14:ligatures w14:val="standardContextual"/>
        </w:rPr>
      </w:pPr>
      <w:r w:rsidRPr="00120553">
        <w:rPr>
          <w:rFonts w:eastAsia="Aptos" w:cs="Times New Roman"/>
          <w:kern w:val="2"/>
          <w:szCs w:val="20"/>
          <w14:ligatures w14:val="standardContextual"/>
        </w:rPr>
        <w:t xml:space="preserve">The analysis also reveals the primary and secondary consequences of AI-SCI on ES. Even though the primary consequence is rather small, the indirect consequences through SCA and TR are quite large, which suggests that the fundamental influence AI-SCI has on ES is channeled through these constructs. </w:t>
      </w:r>
    </w:p>
    <w:p w14:paraId="0890C0B0" w14:textId="77777777" w:rsidR="00424237" w:rsidRDefault="00424237" w:rsidP="00311201">
      <w:pPr>
        <w:rPr>
          <w:rFonts w:eastAsia="Aptos" w:cs="Times New Roman"/>
          <w:kern w:val="2"/>
          <w:szCs w:val="20"/>
          <w14:ligatures w14:val="standardContextual"/>
        </w:rPr>
      </w:pPr>
    </w:p>
    <w:p w14:paraId="57FEB342" w14:textId="0DE0EA7F" w:rsidR="001C6B02" w:rsidRPr="00120553" w:rsidRDefault="0097267E" w:rsidP="00311201">
      <w:pPr>
        <w:rPr>
          <w:rFonts w:eastAsia="Aptos" w:cs="Times New Roman"/>
          <w:kern w:val="2"/>
          <w:szCs w:val="20"/>
          <w14:ligatures w14:val="standardContextual"/>
        </w:rPr>
      </w:pPr>
      <w:r w:rsidRPr="00120553">
        <w:rPr>
          <w:rFonts w:eastAsia="Aptos" w:cs="Times New Roman"/>
          <w:kern w:val="2"/>
          <w:szCs w:val="20"/>
          <w14:ligatures w14:val="standardContextual"/>
        </w:rPr>
        <w:t>This result corroborates the mediation analysis</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which shows that SCA and TR, when included in the model, maintain the significance of the AI-SCI-ES relationship even in the presence of direct effects. This is in accordance with the theoretical framework of this study</w:t>
      </w:r>
      <w:r w:rsidR="00FC509E">
        <w:rPr>
          <w:rFonts w:eastAsia="Aptos" w:cs="Times New Roman"/>
          <w:kern w:val="2"/>
          <w:szCs w:val="20"/>
          <w14:ligatures w14:val="standardContextual"/>
        </w:rPr>
        <w:t>,</w:t>
      </w:r>
      <w:r w:rsidRPr="00120553">
        <w:rPr>
          <w:rFonts w:eastAsia="Aptos" w:cs="Times New Roman"/>
          <w:kern w:val="2"/>
          <w:szCs w:val="20"/>
          <w14:ligatures w14:val="standardContextual"/>
        </w:rPr>
        <w:t xml:space="preserve"> which states that AI-SCI impacts ES through increased agility and greater technological readiness.</w:t>
      </w:r>
    </w:p>
    <w:p w14:paraId="4EA91004" w14:textId="77777777" w:rsidR="0097267E" w:rsidRPr="00292CF5" w:rsidRDefault="0097267E" w:rsidP="00A32B07">
      <w:pPr>
        <w:spacing w:before="100" w:beforeAutospacing="1"/>
        <w:rPr>
          <w:rFonts w:eastAsia="Times New Roman" w:cs="Times New Roman"/>
          <w:b/>
          <w:color w:val="C45911" w:themeColor="accent2" w:themeShade="BF"/>
          <w:szCs w:val="20"/>
        </w:rPr>
      </w:pPr>
      <w:r>
        <w:rPr>
          <w:rFonts w:eastAsia="Times New Roman" w:cs="Times New Roman"/>
          <w:b/>
          <w:color w:val="C45911" w:themeColor="accent2" w:themeShade="BF"/>
          <w:szCs w:val="20"/>
        </w:rPr>
        <w:t xml:space="preserve">7. </w:t>
      </w:r>
      <w:r w:rsidRPr="00292CF5">
        <w:rPr>
          <w:rFonts w:eastAsia="Times New Roman" w:cs="Times New Roman"/>
          <w:b/>
          <w:color w:val="C45911" w:themeColor="accent2" w:themeShade="BF"/>
          <w:szCs w:val="20"/>
        </w:rPr>
        <w:t>Practical Implications</w:t>
      </w:r>
    </w:p>
    <w:p w14:paraId="43E628B1" w14:textId="77777777" w:rsidR="00424237" w:rsidRDefault="0097267E" w:rsidP="00AB75AC">
      <w:pPr>
        <w:rPr>
          <w:rFonts w:eastAsia="Times New Roman" w:cs="Times New Roman"/>
          <w:szCs w:val="20"/>
        </w:rPr>
      </w:pPr>
      <w:r w:rsidRPr="00120553">
        <w:rPr>
          <w:rFonts w:eastAsia="Times New Roman" w:cs="Times New Roman"/>
          <w:szCs w:val="20"/>
        </w:rPr>
        <w:t xml:space="preserve">There are several implications relevant for managers and </w:t>
      </w:r>
      <w:r w:rsidR="004D7A47" w:rsidRPr="00120553">
        <w:rPr>
          <w:rFonts w:eastAsia="Times New Roman" w:cs="Times New Roman"/>
          <w:szCs w:val="20"/>
        </w:rPr>
        <w:t>policymakers</w:t>
      </w:r>
      <w:r w:rsidRPr="00120553">
        <w:rPr>
          <w:rFonts w:eastAsia="Times New Roman" w:cs="Times New Roman"/>
          <w:szCs w:val="20"/>
        </w:rPr>
        <w:t xml:space="preserve"> in the RMG </w:t>
      </w:r>
      <w:r w:rsidR="001C6B02">
        <w:rPr>
          <w:rFonts w:eastAsia="Times New Roman" w:cs="Times New Roman"/>
          <w:szCs w:val="20"/>
        </w:rPr>
        <w:t>industry that</w:t>
      </w:r>
      <w:r w:rsidRPr="00120553">
        <w:rPr>
          <w:rFonts w:eastAsia="Times New Roman" w:cs="Times New Roman"/>
          <w:szCs w:val="20"/>
        </w:rPr>
        <w:t xml:space="preserve"> emerge from the findings. First, there exists a strong linkage of AI-SCI with SCA, which </w:t>
      </w:r>
      <w:r w:rsidR="001C6B02">
        <w:rPr>
          <w:rFonts w:eastAsia="Times New Roman" w:cs="Times New Roman"/>
          <w:szCs w:val="20"/>
        </w:rPr>
        <w:t>implies that</w:t>
      </w:r>
      <w:r w:rsidRPr="00120553">
        <w:rPr>
          <w:rFonts w:eastAsia="Times New Roman" w:cs="Times New Roman"/>
          <w:szCs w:val="20"/>
        </w:rPr>
        <w:t xml:space="preserve"> the firms should concentrate their resources on investments towards AI technology to improve the supply chain agility of the firms. </w:t>
      </w:r>
    </w:p>
    <w:p w14:paraId="639E4198" w14:textId="77777777" w:rsidR="00424237" w:rsidRDefault="00424237" w:rsidP="00AB75AC">
      <w:pPr>
        <w:rPr>
          <w:rFonts w:eastAsia="Times New Roman" w:cs="Times New Roman"/>
          <w:szCs w:val="20"/>
        </w:rPr>
      </w:pPr>
    </w:p>
    <w:p w14:paraId="46D85859" w14:textId="6FB3E67D" w:rsidR="0097267E" w:rsidRDefault="0097267E" w:rsidP="00AB75AC">
      <w:pPr>
        <w:rPr>
          <w:rFonts w:eastAsia="Times New Roman" w:cs="Times New Roman"/>
          <w:szCs w:val="20"/>
        </w:rPr>
      </w:pPr>
      <w:r w:rsidRPr="00120553">
        <w:rPr>
          <w:rFonts w:eastAsia="Times New Roman" w:cs="Times New Roman"/>
          <w:szCs w:val="20"/>
        </w:rPr>
        <w:t xml:space="preserve">One example of such </w:t>
      </w:r>
      <w:r w:rsidR="001C6B02">
        <w:rPr>
          <w:rFonts w:eastAsia="Times New Roman" w:cs="Times New Roman"/>
          <w:szCs w:val="20"/>
        </w:rPr>
        <w:t>tools is</w:t>
      </w:r>
      <w:r w:rsidRPr="00120553">
        <w:rPr>
          <w:rFonts w:eastAsia="Times New Roman" w:cs="Times New Roman"/>
          <w:szCs w:val="20"/>
        </w:rPr>
        <w:t xml:space="preserve"> AI-enabled demand forecasting, inventory management, and logistics optimization, which can provide agility and sustainability improvements in terms of reducing environmental impact and time-to-market</w:t>
      </w:r>
      <w:r w:rsidR="001C6B02">
        <w:rPr>
          <w:rFonts w:eastAsia="Times New Roman" w:cs="Times New Roman"/>
          <w:szCs w:val="20"/>
        </w:rPr>
        <w:t xml:space="preserve"> [67]</w:t>
      </w:r>
      <w:r w:rsidRPr="00120553">
        <w:rPr>
          <w:rFonts w:eastAsia="Times New Roman" w:cs="Times New Roman"/>
          <w:szCs w:val="20"/>
        </w:rPr>
        <w:t xml:space="preserve">. </w:t>
      </w:r>
      <w:r w:rsidR="001C6B02">
        <w:rPr>
          <w:rFonts w:eastAsia="Times New Roman" w:cs="Times New Roman"/>
          <w:szCs w:val="20"/>
        </w:rPr>
        <w:t>For instance</w:t>
      </w:r>
      <w:r w:rsidRPr="00120553">
        <w:rPr>
          <w:rFonts w:eastAsia="Times New Roman" w:cs="Times New Roman"/>
          <w:szCs w:val="20"/>
        </w:rPr>
        <w:t xml:space="preserve">, AI-driven demand forecasting can support companies </w:t>
      </w:r>
      <w:r w:rsidR="00FC509E">
        <w:rPr>
          <w:rFonts w:eastAsia="Times New Roman" w:cs="Times New Roman"/>
          <w:szCs w:val="20"/>
        </w:rPr>
        <w:t>in adjusting</w:t>
      </w:r>
      <w:r w:rsidRPr="00120553">
        <w:rPr>
          <w:rFonts w:eastAsia="Times New Roman" w:cs="Times New Roman"/>
          <w:szCs w:val="20"/>
        </w:rPr>
        <w:t xml:space="preserve"> their production </w:t>
      </w:r>
      <w:r w:rsidR="00FC509E">
        <w:rPr>
          <w:rFonts w:eastAsia="Times New Roman" w:cs="Times New Roman"/>
          <w:szCs w:val="20"/>
        </w:rPr>
        <w:t>to</w:t>
      </w:r>
      <w:r w:rsidRPr="00120553">
        <w:rPr>
          <w:rFonts w:eastAsia="Times New Roman" w:cs="Times New Roman"/>
          <w:szCs w:val="20"/>
        </w:rPr>
        <w:t xml:space="preserve"> actual demand, thereby lowering overproduction and waste.</w:t>
      </w:r>
    </w:p>
    <w:p w14:paraId="72477900" w14:textId="77777777" w:rsidR="00085B5F" w:rsidRPr="00292CF5" w:rsidRDefault="00085B5F" w:rsidP="00AB75AC">
      <w:pPr>
        <w:rPr>
          <w:rFonts w:eastAsia="Times New Roman" w:cs="Times New Roman"/>
          <w:b/>
          <w:szCs w:val="20"/>
        </w:rPr>
      </w:pPr>
    </w:p>
    <w:p w14:paraId="18D5CC3A" w14:textId="77777777" w:rsidR="00424237" w:rsidRDefault="0097267E" w:rsidP="00311201">
      <w:pPr>
        <w:spacing w:after="60"/>
        <w:rPr>
          <w:rFonts w:eastAsia="Times New Roman" w:cs="Times New Roman"/>
          <w:szCs w:val="20"/>
        </w:rPr>
      </w:pPr>
      <w:r w:rsidRPr="00120553">
        <w:rPr>
          <w:rFonts w:eastAsia="Times New Roman" w:cs="Times New Roman"/>
          <w:szCs w:val="20"/>
        </w:rPr>
        <w:t xml:space="preserve">Second, the crucial TR </w:t>
      </w:r>
      <w:r w:rsidR="001C6B02">
        <w:rPr>
          <w:rFonts w:eastAsia="Times New Roman" w:cs="Times New Roman"/>
          <w:szCs w:val="20"/>
        </w:rPr>
        <w:t>on linking</w:t>
      </w:r>
      <w:r w:rsidRPr="00120553">
        <w:rPr>
          <w:rFonts w:eastAsia="Times New Roman" w:cs="Times New Roman"/>
          <w:szCs w:val="20"/>
        </w:rPr>
        <w:t xml:space="preserve"> AI-SCI and ES suggests that </w:t>
      </w:r>
      <w:r w:rsidR="007E4A99" w:rsidRPr="00120553">
        <w:rPr>
          <w:rFonts w:eastAsia="Times New Roman" w:cs="Times New Roman"/>
          <w:szCs w:val="20"/>
        </w:rPr>
        <w:t>organizations</w:t>
      </w:r>
      <w:r w:rsidRPr="00120553">
        <w:rPr>
          <w:rFonts w:eastAsia="Times New Roman" w:cs="Times New Roman"/>
          <w:szCs w:val="20"/>
        </w:rPr>
        <w:t xml:space="preserve"> need to develop technical capability and </w:t>
      </w:r>
      <w:r w:rsidR="00FC509E">
        <w:rPr>
          <w:rFonts w:eastAsia="Times New Roman" w:cs="Times New Roman"/>
          <w:szCs w:val="20"/>
        </w:rPr>
        <w:t xml:space="preserve">an </w:t>
      </w:r>
      <w:r w:rsidR="007E4A99" w:rsidRPr="00120553">
        <w:rPr>
          <w:rFonts w:eastAsia="Times New Roman" w:cs="Times New Roman"/>
          <w:szCs w:val="20"/>
        </w:rPr>
        <w:t>innovative</w:t>
      </w:r>
      <w:r w:rsidRPr="00120553">
        <w:rPr>
          <w:rFonts w:eastAsia="Times New Roman" w:cs="Times New Roman"/>
          <w:szCs w:val="20"/>
        </w:rPr>
        <w:t xml:space="preserve"> culture. This includes staff training, IT infrastructure renewal, </w:t>
      </w:r>
      <w:r w:rsidR="00FC509E">
        <w:rPr>
          <w:rFonts w:eastAsia="Times New Roman" w:cs="Times New Roman"/>
          <w:szCs w:val="20"/>
        </w:rPr>
        <w:t>and partnering</w:t>
      </w:r>
      <w:r w:rsidRPr="00120553">
        <w:rPr>
          <w:rFonts w:eastAsia="Times New Roman" w:cs="Times New Roman"/>
          <w:szCs w:val="20"/>
        </w:rPr>
        <w:t xml:space="preserve"> with technology vendors to facilitate the adoption of AI </w:t>
      </w:r>
      <w:r w:rsidR="001C6B02">
        <w:rPr>
          <w:rFonts w:eastAsia="Times New Roman" w:cs="Times New Roman"/>
          <w:szCs w:val="20"/>
        </w:rPr>
        <w:t>[68]</w:t>
      </w:r>
      <w:r w:rsidRPr="00120553">
        <w:rPr>
          <w:rFonts w:eastAsia="Times New Roman" w:cs="Times New Roman"/>
          <w:szCs w:val="20"/>
        </w:rPr>
        <w:t xml:space="preserve">. </w:t>
      </w:r>
    </w:p>
    <w:p w14:paraId="2AB1071A" w14:textId="77777777" w:rsidR="00424237" w:rsidRDefault="00424237" w:rsidP="00311201">
      <w:pPr>
        <w:spacing w:after="60"/>
        <w:rPr>
          <w:rFonts w:eastAsia="Times New Roman" w:cs="Times New Roman"/>
          <w:szCs w:val="20"/>
        </w:rPr>
      </w:pPr>
    </w:p>
    <w:p w14:paraId="4F29FFD8" w14:textId="5D0883B1" w:rsidR="00424237" w:rsidRDefault="0097267E" w:rsidP="00311201">
      <w:pPr>
        <w:spacing w:after="60"/>
        <w:rPr>
          <w:rFonts w:eastAsia="Times New Roman" w:cs="Times New Roman"/>
          <w:szCs w:val="20"/>
        </w:rPr>
      </w:pPr>
      <w:r w:rsidRPr="00120553">
        <w:rPr>
          <w:rFonts w:eastAsia="Times New Roman" w:cs="Times New Roman"/>
          <w:szCs w:val="20"/>
        </w:rPr>
        <w:t xml:space="preserve">Policy makers can </w:t>
      </w:r>
      <w:r w:rsidR="00FC509E">
        <w:rPr>
          <w:rFonts w:eastAsia="Times New Roman" w:cs="Times New Roman"/>
          <w:szCs w:val="20"/>
        </w:rPr>
        <w:t>facilitate these</w:t>
      </w:r>
      <w:r w:rsidRPr="00120553">
        <w:rPr>
          <w:rFonts w:eastAsia="Times New Roman" w:cs="Times New Roman"/>
          <w:szCs w:val="20"/>
        </w:rPr>
        <w:t xml:space="preserve"> efforts by creating incentives for </w:t>
      </w:r>
      <w:r w:rsidR="007E4A99" w:rsidRPr="00120553">
        <w:rPr>
          <w:rFonts w:eastAsia="Times New Roman" w:cs="Times New Roman"/>
          <w:szCs w:val="20"/>
        </w:rPr>
        <w:t>technological</w:t>
      </w:r>
      <w:r w:rsidRPr="00120553">
        <w:rPr>
          <w:rFonts w:eastAsia="Times New Roman" w:cs="Times New Roman"/>
          <w:szCs w:val="20"/>
        </w:rPr>
        <w:t xml:space="preserve"> deployment and fostering collaboration between industry and academia. For instance, government grants or </w:t>
      </w:r>
      <w:r w:rsidR="00FC509E">
        <w:rPr>
          <w:rFonts w:eastAsia="Times New Roman" w:cs="Times New Roman"/>
          <w:szCs w:val="20"/>
        </w:rPr>
        <w:t>financial incentives</w:t>
      </w:r>
      <w:r w:rsidRPr="00120553">
        <w:rPr>
          <w:rFonts w:eastAsia="Times New Roman" w:cs="Times New Roman"/>
          <w:szCs w:val="20"/>
        </w:rPr>
        <w:t xml:space="preserve"> might incentivize companies to invest in AI technologies that promote sustainability.</w:t>
      </w:r>
      <w:r w:rsidR="00311201">
        <w:rPr>
          <w:rFonts w:eastAsia="Times New Roman" w:cs="Times New Roman"/>
          <w:szCs w:val="20"/>
        </w:rPr>
        <w:t xml:space="preserve"> </w:t>
      </w:r>
    </w:p>
    <w:p w14:paraId="19128E65" w14:textId="77777777" w:rsidR="00424237" w:rsidRDefault="00424237" w:rsidP="00311201">
      <w:pPr>
        <w:spacing w:after="60"/>
        <w:rPr>
          <w:rFonts w:eastAsia="Times New Roman" w:cs="Times New Roman"/>
          <w:szCs w:val="20"/>
        </w:rPr>
      </w:pPr>
    </w:p>
    <w:p w14:paraId="5768925B" w14:textId="1948CDF9" w:rsidR="0097267E" w:rsidRDefault="007E4A99" w:rsidP="00311201">
      <w:pPr>
        <w:spacing w:after="60"/>
        <w:rPr>
          <w:rFonts w:eastAsia="Times New Roman" w:cs="Times New Roman"/>
          <w:szCs w:val="20"/>
        </w:rPr>
      </w:pPr>
      <w:r w:rsidRPr="00120553">
        <w:rPr>
          <w:rFonts w:eastAsia="Times New Roman" w:cs="Times New Roman"/>
          <w:szCs w:val="20"/>
        </w:rPr>
        <w:t>Finally</w:t>
      </w:r>
      <w:r w:rsidR="0097267E" w:rsidRPr="00120553">
        <w:rPr>
          <w:rFonts w:eastAsia="Times New Roman" w:cs="Times New Roman"/>
          <w:szCs w:val="20"/>
        </w:rPr>
        <w:t>, the emphasis on environmental sustainability in the study underlines the need to incorporate sustainability objectives in AI-enabled supply chain strategies. Organizations should seek to integrate AI projects with wider environmental goals, including carbon emission reduction, waste minimization</w:t>
      </w:r>
      <w:r w:rsidR="00FC509E">
        <w:rPr>
          <w:rFonts w:eastAsia="Times New Roman" w:cs="Times New Roman"/>
          <w:szCs w:val="20"/>
        </w:rPr>
        <w:t>,</w:t>
      </w:r>
      <w:r w:rsidR="0097267E" w:rsidRPr="00120553">
        <w:rPr>
          <w:rFonts w:eastAsia="Times New Roman" w:cs="Times New Roman"/>
          <w:szCs w:val="20"/>
        </w:rPr>
        <w:t xml:space="preserve"> and circular economy </w:t>
      </w:r>
      <w:r w:rsidR="00FC509E">
        <w:rPr>
          <w:rFonts w:eastAsia="Times New Roman" w:cs="Times New Roman"/>
          <w:szCs w:val="20"/>
        </w:rPr>
        <w:t xml:space="preserve">initiatives </w:t>
      </w:r>
      <w:r w:rsidR="0097267E" w:rsidRPr="00120553">
        <w:rPr>
          <w:rFonts w:eastAsia="Times New Roman" w:cs="Times New Roman"/>
          <w:szCs w:val="20"/>
        </w:rPr>
        <w:t> </w:t>
      </w:r>
      <w:r w:rsidR="001C6B02">
        <w:rPr>
          <w:rFonts w:eastAsia="Times New Roman" w:cs="Times New Roman"/>
          <w:szCs w:val="20"/>
        </w:rPr>
        <w:t>[69]</w:t>
      </w:r>
      <w:r w:rsidR="0097267E" w:rsidRPr="00120553">
        <w:rPr>
          <w:rFonts w:eastAsia="Times New Roman" w:cs="Times New Roman"/>
          <w:szCs w:val="20"/>
        </w:rPr>
        <w:t xml:space="preserve">. For example, AI can be employed to improve transportation routes, which in turn decreases transportation fuel usage </w:t>
      </w:r>
      <w:r w:rsidR="00FC509E">
        <w:rPr>
          <w:rFonts w:eastAsia="Times New Roman" w:cs="Times New Roman"/>
          <w:szCs w:val="20"/>
        </w:rPr>
        <w:t>and greenhouse</w:t>
      </w:r>
      <w:r w:rsidR="0097267E" w:rsidRPr="00120553">
        <w:rPr>
          <w:rFonts w:eastAsia="Times New Roman" w:cs="Times New Roman"/>
          <w:szCs w:val="20"/>
        </w:rPr>
        <w:t xml:space="preserve"> gas emissions.</w:t>
      </w:r>
    </w:p>
    <w:p w14:paraId="74718938" w14:textId="77777777" w:rsidR="00A32B07" w:rsidRPr="00A32B07" w:rsidRDefault="00A32B07" w:rsidP="00A32B07">
      <w:pPr>
        <w:spacing w:after="60"/>
        <w:rPr>
          <w:rFonts w:eastAsia="Times New Roman" w:cs="Times New Roman"/>
          <w:szCs w:val="20"/>
        </w:rPr>
      </w:pPr>
    </w:p>
    <w:p w14:paraId="25374526" w14:textId="77777777" w:rsidR="0097267E" w:rsidRDefault="0097267E" w:rsidP="0097267E">
      <w:pPr>
        <w:rPr>
          <w:rFonts w:eastAsia="Aptos" w:cs="Times New Roman"/>
          <w:b/>
          <w:bCs/>
          <w:color w:val="C45911" w:themeColor="accent2" w:themeShade="BF"/>
          <w:kern w:val="2"/>
          <w:szCs w:val="20"/>
          <w14:ligatures w14:val="standardContextual"/>
        </w:rPr>
      </w:pPr>
      <w:r w:rsidRPr="003D655E">
        <w:rPr>
          <w:rFonts w:eastAsia="Aptos" w:cs="Times New Roman"/>
          <w:b/>
          <w:bCs/>
          <w:color w:val="C45911" w:themeColor="accent2" w:themeShade="BF"/>
          <w:kern w:val="2"/>
          <w:szCs w:val="20"/>
          <w14:ligatures w14:val="standardContextual"/>
        </w:rPr>
        <w:t>8. Limitations and Future Research Directions</w:t>
      </w:r>
    </w:p>
    <w:p w14:paraId="27F51661" w14:textId="1ED35FBD" w:rsidR="0097267E" w:rsidRPr="0097267E" w:rsidRDefault="0097267E" w:rsidP="0097267E">
      <w:pPr>
        <w:spacing w:after="240"/>
        <w:rPr>
          <w:rFonts w:eastAsia="Aptos" w:cs="Times New Roman"/>
          <w:b/>
          <w:bCs/>
          <w:color w:val="C45911" w:themeColor="accent2" w:themeShade="BF"/>
          <w:kern w:val="2"/>
          <w:szCs w:val="20"/>
          <w14:ligatures w14:val="standardContextual"/>
        </w:rPr>
      </w:pPr>
      <w:r w:rsidRPr="00120553">
        <w:rPr>
          <w:szCs w:val="20"/>
        </w:rPr>
        <w:t xml:space="preserve">Although this study is </w:t>
      </w:r>
      <w:r w:rsidR="00FC509E">
        <w:rPr>
          <w:szCs w:val="20"/>
        </w:rPr>
        <w:t>very informative</w:t>
      </w:r>
      <w:r w:rsidRPr="00120553">
        <w:rPr>
          <w:szCs w:val="20"/>
        </w:rPr>
        <w:t xml:space="preserve">, it is not without limitations. First, the study is </w:t>
      </w:r>
      <w:r w:rsidR="00FC509E">
        <w:rPr>
          <w:szCs w:val="20"/>
        </w:rPr>
        <w:t>set within</w:t>
      </w:r>
      <w:r w:rsidRPr="00120553">
        <w:rPr>
          <w:szCs w:val="20"/>
        </w:rPr>
        <w:t xml:space="preserve"> the context of Bangladesh’s RMG industry</w:t>
      </w:r>
      <w:r w:rsidR="00FC509E">
        <w:rPr>
          <w:szCs w:val="20"/>
        </w:rPr>
        <w:t>,</w:t>
      </w:r>
      <w:r w:rsidRPr="00120553">
        <w:rPr>
          <w:szCs w:val="20"/>
        </w:rPr>
        <w:t xml:space="preserve"> and results may not be generalizable across all industries or geographies. It </w:t>
      </w:r>
      <w:r w:rsidR="00FC509E">
        <w:rPr>
          <w:szCs w:val="20"/>
        </w:rPr>
        <w:t>might be</w:t>
      </w:r>
      <w:r w:rsidRPr="00120553">
        <w:rPr>
          <w:szCs w:val="20"/>
        </w:rPr>
        <w:t xml:space="preserve"> interesting for future studies to investigate the generalizability of the model in other industries (e.g., manufacturing, retail, health care). For instance, the potential of AI-SCI in the automotive or electronics field to improve environmental sustainability could </w:t>
      </w:r>
      <w:r w:rsidR="00FC509E">
        <w:rPr>
          <w:szCs w:val="20"/>
        </w:rPr>
        <w:t>be examined</w:t>
      </w:r>
      <w:r w:rsidRPr="00120553">
        <w:rPr>
          <w:szCs w:val="20"/>
        </w:rPr>
        <w:t>.</w:t>
      </w:r>
    </w:p>
    <w:p w14:paraId="6AFC780C" w14:textId="77777777" w:rsidR="00424237" w:rsidRDefault="0097267E" w:rsidP="0097267E">
      <w:pPr>
        <w:pStyle w:val="NormalWeb"/>
        <w:spacing w:after="60" w:afterAutospacing="0"/>
        <w:jc w:val="both"/>
        <w:rPr>
          <w:rFonts w:ascii="Book Antiqua" w:hAnsi="Book Antiqua"/>
          <w:sz w:val="20"/>
          <w:szCs w:val="20"/>
        </w:rPr>
      </w:pPr>
      <w:r w:rsidRPr="00120553">
        <w:rPr>
          <w:rFonts w:ascii="Book Antiqua" w:hAnsi="Book Antiqua"/>
          <w:sz w:val="20"/>
          <w:szCs w:val="20"/>
        </w:rPr>
        <w:t xml:space="preserve">Second, because the study is based on cross-sectional data, it is impossible to ascertain whether any causal </w:t>
      </w:r>
      <w:r w:rsidR="00FC509E">
        <w:rPr>
          <w:rFonts w:ascii="Book Antiqua" w:hAnsi="Book Antiqua"/>
          <w:sz w:val="20"/>
          <w:szCs w:val="20"/>
        </w:rPr>
        <w:t>relationships</w:t>
      </w:r>
      <w:r w:rsidRPr="00120553">
        <w:rPr>
          <w:rFonts w:ascii="Book Antiqua" w:hAnsi="Book Antiqua"/>
          <w:sz w:val="20"/>
          <w:szCs w:val="20"/>
        </w:rPr>
        <w:t xml:space="preserve"> exist</w:t>
      </w:r>
      <w:r w:rsidRPr="00120553">
        <w:rPr>
          <w:rFonts w:ascii="Book Antiqua" w:hAnsi="Book Antiqua"/>
          <w:sz w:val="20"/>
          <w:szCs w:val="20"/>
        </w:rPr>
        <w:t> </w:t>
      </w:r>
      <w:r w:rsidRPr="00120553">
        <w:rPr>
          <w:rFonts w:ascii="Book Antiqua" w:hAnsi="Book Antiqua"/>
          <w:sz w:val="20"/>
          <w:szCs w:val="20"/>
        </w:rPr>
        <w:t xml:space="preserve">. Longitudinal studies of these parameters might offer further insights into these </w:t>
      </w:r>
      <w:r w:rsidR="00FC509E">
        <w:rPr>
          <w:rFonts w:ascii="Book Antiqua" w:hAnsi="Book Antiqua"/>
          <w:sz w:val="20"/>
          <w:szCs w:val="20"/>
        </w:rPr>
        <w:t>dynamic interactions</w:t>
      </w:r>
      <w:r w:rsidRPr="00120553">
        <w:rPr>
          <w:rFonts w:ascii="Book Antiqua" w:hAnsi="Book Antiqua"/>
          <w:sz w:val="20"/>
          <w:szCs w:val="20"/>
        </w:rPr>
        <w:t xml:space="preserve"> of AI-SCI, SCA, TR, and ES over time. </w:t>
      </w:r>
    </w:p>
    <w:p w14:paraId="34A2D90E" w14:textId="7DE68249" w:rsidR="00424237" w:rsidRDefault="0097267E" w:rsidP="0097267E">
      <w:pPr>
        <w:pStyle w:val="NormalWeb"/>
        <w:spacing w:after="60" w:afterAutospacing="0"/>
        <w:jc w:val="both"/>
        <w:rPr>
          <w:rFonts w:ascii="Book Antiqua" w:hAnsi="Book Antiqua"/>
          <w:color w:val="000000" w:themeColor="text1"/>
          <w:sz w:val="20"/>
          <w:szCs w:val="20"/>
        </w:rPr>
      </w:pPr>
      <w:r w:rsidRPr="00120553">
        <w:rPr>
          <w:rFonts w:ascii="Book Antiqua" w:hAnsi="Book Antiqua"/>
          <w:sz w:val="20"/>
          <w:szCs w:val="20"/>
        </w:rPr>
        <w:t xml:space="preserve">One </w:t>
      </w:r>
      <w:r w:rsidRPr="0097267E">
        <w:rPr>
          <w:rFonts w:ascii="Book Antiqua" w:hAnsi="Book Antiqua"/>
          <w:color w:val="000000" w:themeColor="text1"/>
          <w:sz w:val="20"/>
          <w:szCs w:val="20"/>
        </w:rPr>
        <w:t xml:space="preserve">example is a long-term study </w:t>
      </w:r>
      <w:r w:rsidR="00FC509E">
        <w:rPr>
          <w:rFonts w:ascii="Book Antiqua" w:hAnsi="Book Antiqua"/>
          <w:color w:val="000000" w:themeColor="text1"/>
          <w:sz w:val="20"/>
          <w:szCs w:val="20"/>
        </w:rPr>
        <w:t xml:space="preserve">that </w:t>
      </w:r>
      <w:r w:rsidRPr="0097267E">
        <w:rPr>
          <w:rFonts w:ascii="Book Antiqua" w:hAnsi="Book Antiqua"/>
          <w:color w:val="000000" w:themeColor="text1"/>
          <w:sz w:val="20"/>
          <w:szCs w:val="20"/>
        </w:rPr>
        <w:t xml:space="preserve">would look at the effects of AI adoption on supply </w:t>
      </w:r>
      <w:r w:rsidR="00FC509E">
        <w:rPr>
          <w:rFonts w:ascii="Book Antiqua" w:hAnsi="Book Antiqua"/>
          <w:color w:val="000000" w:themeColor="text1"/>
          <w:sz w:val="20"/>
          <w:szCs w:val="20"/>
        </w:rPr>
        <w:t>chain agility</w:t>
      </w:r>
      <w:r w:rsidRPr="0097267E">
        <w:rPr>
          <w:rFonts w:ascii="Book Antiqua" w:hAnsi="Book Antiqua"/>
          <w:color w:val="000000" w:themeColor="text1"/>
          <w:sz w:val="20"/>
          <w:szCs w:val="20"/>
        </w:rPr>
        <w:t xml:space="preserve"> and environmental sustainability over the course of a number of years, leading to a deeper understanding of these </w:t>
      </w:r>
      <w:r w:rsidRPr="0097267E">
        <w:rPr>
          <w:rFonts w:ascii="Book Antiqua" w:hAnsi="Book Antiqua"/>
          <w:color w:val="000000" w:themeColor="text1"/>
          <w:sz w:val="20"/>
          <w:szCs w:val="20"/>
        </w:rPr>
        <w:lastRenderedPageBreak/>
        <w:t>relationships.</w:t>
      </w:r>
      <w:r w:rsidRPr="0097267E">
        <w:rPr>
          <w:rFonts w:ascii="Segoe UI" w:eastAsiaTheme="minorEastAsia" w:hAnsi="Segoe UI" w:cs="Segoe UI"/>
          <w:color w:val="000000" w:themeColor="text1"/>
          <w:sz w:val="20"/>
          <w:szCs w:val="22"/>
          <w:shd w:val="clear" w:color="auto" w:fill="FFFFFF"/>
        </w:rPr>
        <w:t xml:space="preserve"> </w:t>
      </w:r>
      <w:r w:rsidRPr="0097267E">
        <w:rPr>
          <w:rFonts w:ascii="Book Antiqua" w:hAnsi="Book Antiqua"/>
          <w:color w:val="000000" w:themeColor="text1"/>
          <w:sz w:val="20"/>
          <w:szCs w:val="20"/>
        </w:rPr>
        <w:t>The measurement model included some items with lower outer loadings, which may reflect the nascent stage of AI-SCI research in the RMG sector. Future studies could refine these items or employ larger samples to bolster their psychometric properties</w:t>
      </w:r>
      <w:r>
        <w:rPr>
          <w:rFonts w:ascii="Book Antiqua" w:hAnsi="Book Antiqua"/>
          <w:color w:val="000000" w:themeColor="text1"/>
          <w:sz w:val="20"/>
          <w:szCs w:val="20"/>
        </w:rPr>
        <w:t>.</w:t>
      </w:r>
    </w:p>
    <w:p w14:paraId="06C14956" w14:textId="77777777" w:rsidR="00A551DA" w:rsidRPr="00A551DA" w:rsidRDefault="00A551DA" w:rsidP="00A551DA">
      <w:pPr>
        <w:pStyle w:val="NormalWeb"/>
        <w:spacing w:before="0" w:beforeAutospacing="0" w:after="60" w:afterAutospacing="0"/>
        <w:jc w:val="both"/>
        <w:rPr>
          <w:rFonts w:ascii="Book Antiqua" w:hAnsi="Book Antiqua"/>
          <w:color w:val="000000" w:themeColor="text1"/>
          <w:sz w:val="20"/>
          <w:szCs w:val="20"/>
        </w:rPr>
      </w:pPr>
    </w:p>
    <w:p w14:paraId="64366926" w14:textId="024DBB33" w:rsidR="00AB75AC" w:rsidRDefault="0097267E" w:rsidP="00424237">
      <w:pPr>
        <w:pStyle w:val="NormalWeb"/>
        <w:spacing w:before="0" w:beforeAutospacing="0" w:after="60" w:afterAutospacing="0"/>
        <w:jc w:val="both"/>
        <w:rPr>
          <w:rFonts w:ascii="Book Antiqua" w:hAnsi="Book Antiqua"/>
          <w:sz w:val="20"/>
          <w:szCs w:val="20"/>
        </w:rPr>
      </w:pPr>
      <w:r w:rsidRPr="00120553">
        <w:rPr>
          <w:rFonts w:ascii="Book Antiqua" w:hAnsi="Book Antiqua"/>
          <w:sz w:val="20"/>
          <w:szCs w:val="20"/>
        </w:rPr>
        <w:t>Third, this research only considers two mediators—SCA and TR</w:t>
      </w:r>
      <w:r w:rsidR="00FC509E">
        <w:rPr>
          <w:rFonts w:ascii="Book Antiqua" w:hAnsi="Book Antiqua"/>
          <w:sz w:val="20"/>
          <w:szCs w:val="20"/>
        </w:rPr>
        <w:t>;</w:t>
      </w:r>
      <w:r w:rsidRPr="00120553">
        <w:rPr>
          <w:rFonts w:ascii="Book Antiqua" w:hAnsi="Book Antiqua"/>
          <w:sz w:val="20"/>
          <w:szCs w:val="20"/>
        </w:rPr>
        <w:t xml:space="preserve"> however, other factors such as organizational culture, leadership, and external environmental pressure could play roles in the AI-SCI and </w:t>
      </w:r>
      <w:r w:rsidR="004D7A47">
        <w:rPr>
          <w:rFonts w:ascii="Book Antiqua" w:hAnsi="Book Antiqua"/>
          <w:sz w:val="20"/>
          <w:szCs w:val="20"/>
        </w:rPr>
        <w:t>ES relationship</w:t>
      </w:r>
      <w:r w:rsidRPr="00120553">
        <w:rPr>
          <w:rFonts w:ascii="Book Antiqua" w:hAnsi="Book Antiqua"/>
          <w:sz w:val="20"/>
          <w:szCs w:val="20"/>
        </w:rPr>
        <w:t>. These other mediators can be tested in future research to explain sustainable supply chain practices. For example, it might be interesting to explore the contribution of leadership to sustainability and innovation cultures.</w:t>
      </w:r>
    </w:p>
    <w:p w14:paraId="2B9AF9EE" w14:textId="77777777" w:rsidR="00424237" w:rsidRPr="00120553" w:rsidRDefault="00424237" w:rsidP="00424237">
      <w:pPr>
        <w:pStyle w:val="NormalWeb"/>
        <w:spacing w:before="0" w:beforeAutospacing="0" w:after="60" w:afterAutospacing="0"/>
        <w:jc w:val="both"/>
        <w:rPr>
          <w:rFonts w:ascii="Book Antiqua" w:hAnsi="Book Antiqua"/>
          <w:sz w:val="20"/>
          <w:szCs w:val="20"/>
        </w:rPr>
      </w:pPr>
    </w:p>
    <w:p w14:paraId="0F91AA33" w14:textId="77777777" w:rsidR="0097267E" w:rsidRPr="00292CF5" w:rsidRDefault="0097267E" w:rsidP="004D7A47">
      <w:pPr>
        <w:rPr>
          <w:rFonts w:eastAsia="Times New Roman" w:cs="Times New Roman"/>
          <w:b/>
          <w:color w:val="C45911" w:themeColor="accent2" w:themeShade="BF"/>
          <w:szCs w:val="20"/>
        </w:rPr>
      </w:pPr>
      <w:r w:rsidRPr="00292CF5">
        <w:rPr>
          <w:rFonts w:eastAsia="Times New Roman" w:cs="Times New Roman"/>
          <w:b/>
          <w:color w:val="C45911" w:themeColor="accent2" w:themeShade="BF"/>
          <w:szCs w:val="20"/>
        </w:rPr>
        <w:t>9. Conclusion</w:t>
      </w:r>
    </w:p>
    <w:p w14:paraId="2D84A8B1" w14:textId="77777777" w:rsidR="00424237" w:rsidRDefault="0097267E" w:rsidP="004D7A47">
      <w:pPr>
        <w:spacing w:after="240"/>
        <w:rPr>
          <w:rFonts w:eastAsia="Times New Roman" w:cs="Times New Roman"/>
          <w:szCs w:val="20"/>
        </w:rPr>
      </w:pPr>
      <w:r w:rsidRPr="00120553">
        <w:rPr>
          <w:rFonts w:eastAsia="Times New Roman" w:cs="Times New Roman"/>
          <w:szCs w:val="20"/>
        </w:rPr>
        <w:t xml:space="preserve">This study highlights the importance of AI-based supply chain integration </w:t>
      </w:r>
      <w:r w:rsidR="00FC509E">
        <w:rPr>
          <w:rFonts w:eastAsia="Times New Roman" w:cs="Times New Roman"/>
          <w:szCs w:val="20"/>
        </w:rPr>
        <w:t>for</w:t>
      </w:r>
      <w:r w:rsidRPr="00120553">
        <w:rPr>
          <w:rFonts w:eastAsia="Times New Roman" w:cs="Times New Roman"/>
          <w:szCs w:val="20"/>
        </w:rPr>
        <w:t xml:space="preserve"> sustainability in the context of Bangladesh's Ready-Made Garment</w:t>
      </w:r>
      <w:r w:rsidRPr="00120553">
        <w:rPr>
          <w:rFonts w:eastAsia="Times New Roman" w:cs="Times New Roman"/>
          <w:szCs w:val="20"/>
        </w:rPr>
        <w:t> </w:t>
      </w:r>
      <w:r w:rsidRPr="00120553">
        <w:rPr>
          <w:rFonts w:eastAsia="Times New Roman" w:cs="Times New Roman"/>
          <w:szCs w:val="20"/>
        </w:rPr>
        <w:t xml:space="preserve">(RMG) industry. The results show that implementing AI </w:t>
      </w:r>
      <w:r w:rsidR="00FC509E">
        <w:rPr>
          <w:rFonts w:eastAsia="Times New Roman" w:cs="Times New Roman"/>
          <w:szCs w:val="20"/>
        </w:rPr>
        <w:t>solutions can</w:t>
      </w:r>
      <w:r w:rsidRPr="00120553">
        <w:rPr>
          <w:rFonts w:eastAsia="Times New Roman" w:cs="Times New Roman"/>
          <w:szCs w:val="20"/>
        </w:rPr>
        <w:t xml:space="preserve"> help improve both waste management and resource management and foster better practices in these areas, </w:t>
      </w:r>
      <w:r w:rsidR="00FC509E">
        <w:rPr>
          <w:rFonts w:eastAsia="Times New Roman" w:cs="Times New Roman"/>
          <w:szCs w:val="20"/>
        </w:rPr>
        <w:t>altogether</w:t>
      </w:r>
      <w:r w:rsidRPr="00120553">
        <w:rPr>
          <w:rFonts w:eastAsia="Times New Roman" w:cs="Times New Roman"/>
          <w:szCs w:val="20"/>
        </w:rPr>
        <w:t xml:space="preserve"> contributing to a more sustainable sector. </w:t>
      </w:r>
    </w:p>
    <w:p w14:paraId="3713CBF9" w14:textId="77777777" w:rsidR="00424237" w:rsidRDefault="0097267E" w:rsidP="004D7A47">
      <w:pPr>
        <w:spacing w:after="240"/>
        <w:rPr>
          <w:rFonts w:eastAsia="Times New Roman" w:cs="Times New Roman"/>
          <w:szCs w:val="20"/>
        </w:rPr>
      </w:pPr>
      <w:r w:rsidRPr="00120553">
        <w:rPr>
          <w:rFonts w:eastAsia="Times New Roman" w:cs="Times New Roman"/>
          <w:szCs w:val="20"/>
        </w:rPr>
        <w:t>Using AI, businesses can streamline not only their supply chains</w:t>
      </w:r>
      <w:r w:rsidR="00FC509E">
        <w:rPr>
          <w:rFonts w:eastAsia="Times New Roman" w:cs="Times New Roman"/>
          <w:szCs w:val="20"/>
        </w:rPr>
        <w:t xml:space="preserve"> </w:t>
      </w:r>
      <w:r w:rsidRPr="00120553">
        <w:rPr>
          <w:rFonts w:eastAsia="Times New Roman" w:cs="Times New Roman"/>
          <w:szCs w:val="20"/>
        </w:rPr>
        <w:t> </w:t>
      </w:r>
      <w:r w:rsidRPr="00120553">
        <w:rPr>
          <w:rFonts w:eastAsia="Times New Roman" w:cs="Times New Roman"/>
          <w:szCs w:val="20"/>
        </w:rPr>
        <w:t xml:space="preserve">but also integrate their operations with larger environmental stewardship efforts. </w:t>
      </w:r>
    </w:p>
    <w:p w14:paraId="3E056525" w14:textId="77777777" w:rsidR="00424237" w:rsidRDefault="00FC509E" w:rsidP="004D7A47">
      <w:pPr>
        <w:spacing w:after="240"/>
        <w:rPr>
          <w:rFonts w:eastAsia="Times New Roman" w:cs="Times New Roman"/>
          <w:szCs w:val="20"/>
        </w:rPr>
      </w:pPr>
      <w:r>
        <w:rPr>
          <w:rFonts w:eastAsia="Times New Roman" w:cs="Times New Roman"/>
          <w:szCs w:val="20"/>
        </w:rPr>
        <w:t>The focus</w:t>
      </w:r>
      <w:r w:rsidR="0097267E" w:rsidRPr="00120553">
        <w:rPr>
          <w:rFonts w:eastAsia="Times New Roman" w:cs="Times New Roman"/>
          <w:szCs w:val="20"/>
        </w:rPr>
        <w:t xml:space="preserve"> of this research is on technological readiness and supply chain agility. They are the two essential keys that make it possible for companies to </w:t>
      </w:r>
      <w:r w:rsidR="00AB75AC" w:rsidRPr="00120553">
        <w:rPr>
          <w:rFonts w:eastAsia="Times New Roman" w:cs="Times New Roman"/>
          <w:szCs w:val="20"/>
        </w:rPr>
        <w:t>deploy</w:t>
      </w:r>
      <w:r w:rsidR="0097267E" w:rsidRPr="00120553">
        <w:rPr>
          <w:rFonts w:eastAsia="Times New Roman" w:cs="Times New Roman"/>
          <w:szCs w:val="20"/>
        </w:rPr>
        <w:t xml:space="preserve"> AI solutions in production and to quickly react to rapidly changing market requirements and </w:t>
      </w:r>
      <w:r>
        <w:rPr>
          <w:rFonts w:eastAsia="Times New Roman" w:cs="Times New Roman"/>
          <w:szCs w:val="20"/>
        </w:rPr>
        <w:t>environmental laws</w:t>
      </w:r>
      <w:r w:rsidR="0097267E" w:rsidRPr="00120553">
        <w:rPr>
          <w:rFonts w:eastAsia="Times New Roman" w:cs="Times New Roman"/>
          <w:szCs w:val="20"/>
        </w:rPr>
        <w:t xml:space="preserve">. </w:t>
      </w:r>
    </w:p>
    <w:p w14:paraId="52AB22F6" w14:textId="0D84E301" w:rsidR="00424237" w:rsidRDefault="0097267E" w:rsidP="004D7A47">
      <w:pPr>
        <w:spacing w:after="240"/>
        <w:rPr>
          <w:rFonts w:eastAsia="Times New Roman" w:cs="Times New Roman"/>
          <w:szCs w:val="20"/>
        </w:rPr>
      </w:pPr>
      <w:r w:rsidRPr="00120553">
        <w:rPr>
          <w:rFonts w:eastAsia="Times New Roman" w:cs="Times New Roman"/>
          <w:szCs w:val="20"/>
        </w:rPr>
        <w:t xml:space="preserve">When companies develop their technical capacity and operational flexibility, </w:t>
      </w:r>
      <w:r w:rsidR="00FC509E">
        <w:rPr>
          <w:rFonts w:eastAsia="Times New Roman" w:cs="Times New Roman"/>
          <w:szCs w:val="20"/>
        </w:rPr>
        <w:t xml:space="preserve">they </w:t>
      </w:r>
      <w:r w:rsidR="00AB75AC">
        <w:rPr>
          <w:rFonts w:eastAsia="Times New Roman" w:cs="Times New Roman"/>
          <w:szCs w:val="20"/>
        </w:rPr>
        <w:t>can establish</w:t>
      </w:r>
      <w:r w:rsidRPr="00120553">
        <w:rPr>
          <w:rFonts w:eastAsia="Times New Roman" w:cs="Times New Roman"/>
          <w:szCs w:val="20"/>
        </w:rPr>
        <w:t xml:space="preserve"> a synergistic effect between economic and sustainability performance.</w:t>
      </w:r>
    </w:p>
    <w:p w14:paraId="7C27AB86" w14:textId="77777777" w:rsidR="00424237" w:rsidRDefault="0097267E" w:rsidP="004D7A47">
      <w:pPr>
        <w:spacing w:after="240"/>
        <w:rPr>
          <w:rFonts w:eastAsia="Times New Roman" w:cs="Times New Roman"/>
          <w:szCs w:val="20"/>
        </w:rPr>
      </w:pPr>
      <w:r w:rsidRPr="00120553">
        <w:rPr>
          <w:rFonts w:eastAsia="Times New Roman" w:cs="Times New Roman"/>
          <w:szCs w:val="20"/>
        </w:rPr>
        <w:t xml:space="preserve"> The implications </w:t>
      </w:r>
      <w:r w:rsidR="00FC509E">
        <w:rPr>
          <w:rFonts w:eastAsia="Times New Roman" w:cs="Times New Roman"/>
          <w:szCs w:val="20"/>
        </w:rPr>
        <w:t>of this</w:t>
      </w:r>
      <w:r w:rsidRPr="00120553">
        <w:rPr>
          <w:rFonts w:eastAsia="Times New Roman" w:cs="Times New Roman"/>
          <w:szCs w:val="20"/>
        </w:rPr>
        <w:t xml:space="preserve"> study are useful for industry decision-makers and regulators. It underscores the speakers' </w:t>
      </w:r>
      <w:r w:rsidR="00FC509E">
        <w:rPr>
          <w:rFonts w:eastAsia="Times New Roman" w:cs="Times New Roman"/>
          <w:szCs w:val="20"/>
        </w:rPr>
        <w:t>belief that</w:t>
      </w:r>
      <w:r w:rsidRPr="00120553">
        <w:rPr>
          <w:rFonts w:eastAsia="Times New Roman" w:cs="Times New Roman"/>
          <w:szCs w:val="20"/>
        </w:rPr>
        <w:t xml:space="preserve"> investment in AI, married with a company culture focused on sustainable practices, </w:t>
      </w:r>
      <w:r w:rsidR="00FC509E">
        <w:rPr>
          <w:rFonts w:eastAsia="Times New Roman" w:cs="Times New Roman"/>
          <w:szCs w:val="20"/>
        </w:rPr>
        <w:t>is</w:t>
      </w:r>
      <w:r w:rsidRPr="00120553">
        <w:rPr>
          <w:rFonts w:eastAsia="Times New Roman" w:cs="Times New Roman"/>
          <w:szCs w:val="20"/>
        </w:rPr>
        <w:t xml:space="preserve"> essential. Such twin investments can help companies address environmental issues while also growing and being competitive in </w:t>
      </w:r>
      <w:r w:rsidR="00FC509E">
        <w:rPr>
          <w:rFonts w:eastAsia="Times New Roman" w:cs="Times New Roman"/>
          <w:szCs w:val="20"/>
        </w:rPr>
        <w:t>the world</w:t>
      </w:r>
      <w:r w:rsidRPr="00120553">
        <w:rPr>
          <w:rFonts w:eastAsia="Times New Roman" w:cs="Times New Roman"/>
          <w:szCs w:val="20"/>
        </w:rPr>
        <w:t xml:space="preserve">. </w:t>
      </w:r>
    </w:p>
    <w:p w14:paraId="3A7DA09B" w14:textId="77777777" w:rsidR="00424237" w:rsidRDefault="0097267E" w:rsidP="004D7A47">
      <w:pPr>
        <w:spacing w:after="240"/>
        <w:rPr>
          <w:rFonts w:eastAsia="Times New Roman" w:cs="Times New Roman"/>
          <w:szCs w:val="20"/>
        </w:rPr>
      </w:pPr>
      <w:r w:rsidRPr="00120553">
        <w:rPr>
          <w:rFonts w:eastAsia="Times New Roman" w:cs="Times New Roman"/>
          <w:szCs w:val="20"/>
        </w:rPr>
        <w:t>This study is limited to the RMG sector</w:t>
      </w:r>
      <w:r w:rsidR="00FC509E">
        <w:rPr>
          <w:rFonts w:eastAsia="Times New Roman" w:cs="Times New Roman"/>
          <w:szCs w:val="20"/>
        </w:rPr>
        <w:t>,</w:t>
      </w:r>
      <w:r w:rsidRPr="00120553">
        <w:rPr>
          <w:rFonts w:eastAsia="Times New Roman" w:cs="Times New Roman"/>
          <w:szCs w:val="20"/>
        </w:rPr>
        <w:t xml:space="preserve"> but its findings apply to the industries more broadly, indicating </w:t>
      </w:r>
      <w:r w:rsidR="00FC509E">
        <w:rPr>
          <w:rFonts w:eastAsia="Times New Roman" w:cs="Times New Roman"/>
          <w:szCs w:val="20"/>
        </w:rPr>
        <w:t xml:space="preserve">that </w:t>
      </w:r>
      <w:r w:rsidRPr="00120553">
        <w:rPr>
          <w:rFonts w:eastAsia="Times New Roman" w:cs="Times New Roman"/>
          <w:szCs w:val="20"/>
        </w:rPr>
        <w:t xml:space="preserve">similar </w:t>
      </w:r>
      <w:r w:rsidR="00FC509E">
        <w:rPr>
          <w:rFonts w:eastAsia="Times New Roman" w:cs="Times New Roman"/>
          <w:szCs w:val="20"/>
        </w:rPr>
        <w:t>strategies would</w:t>
      </w:r>
      <w:r w:rsidRPr="00120553">
        <w:rPr>
          <w:rFonts w:eastAsia="Times New Roman" w:cs="Times New Roman"/>
          <w:szCs w:val="20"/>
        </w:rPr>
        <w:t xml:space="preserve"> have wider applicability and similar benefits. Research Agenda for Future work should </w:t>
      </w:r>
      <w:r w:rsidR="00FC509E">
        <w:rPr>
          <w:rFonts w:eastAsia="Times New Roman" w:cs="Times New Roman"/>
          <w:szCs w:val="20"/>
        </w:rPr>
        <w:t>seek to</w:t>
      </w:r>
      <w:r w:rsidRPr="00120553">
        <w:rPr>
          <w:rFonts w:eastAsia="Times New Roman" w:cs="Times New Roman"/>
          <w:szCs w:val="20"/>
        </w:rPr>
        <w:t xml:space="preserve"> extend these insights by studying the impact of </w:t>
      </w:r>
      <w:r w:rsidR="00FC509E">
        <w:rPr>
          <w:rFonts w:eastAsia="Times New Roman" w:cs="Times New Roman"/>
          <w:szCs w:val="20"/>
        </w:rPr>
        <w:t>AI-enabled</w:t>
      </w:r>
      <w:r w:rsidRPr="00120553">
        <w:rPr>
          <w:rFonts w:eastAsia="Times New Roman" w:cs="Times New Roman"/>
          <w:szCs w:val="20"/>
        </w:rPr>
        <w:t xml:space="preserve"> supply chain integration on sustainability in other manufacturing sectors and other countries.</w:t>
      </w:r>
    </w:p>
    <w:p w14:paraId="5C251BC7" w14:textId="77777777" w:rsidR="00424237" w:rsidRDefault="0097267E" w:rsidP="004D7A47">
      <w:pPr>
        <w:spacing w:after="240"/>
        <w:rPr>
          <w:rFonts w:eastAsia="Times New Roman" w:cs="Times New Roman"/>
          <w:szCs w:val="20"/>
        </w:rPr>
      </w:pPr>
      <w:r w:rsidRPr="00120553">
        <w:rPr>
          <w:rFonts w:eastAsia="Times New Roman" w:cs="Times New Roman"/>
          <w:szCs w:val="20"/>
        </w:rPr>
        <w:t xml:space="preserve"> Furthermore, a broader examination of, for instance, between-organizational culture and leadership interaction</w:t>
      </w:r>
      <w:r w:rsidR="00FC509E">
        <w:rPr>
          <w:rFonts w:eastAsia="Times New Roman" w:cs="Times New Roman"/>
          <w:szCs w:val="20"/>
        </w:rPr>
        <w:t xml:space="preserve"> </w:t>
      </w:r>
      <w:r w:rsidRPr="00120553">
        <w:rPr>
          <w:rFonts w:eastAsia="Times New Roman" w:cs="Times New Roman"/>
          <w:szCs w:val="20"/>
        </w:rPr>
        <w:t xml:space="preserve">will </w:t>
      </w:r>
      <w:r w:rsidR="00FC509E">
        <w:rPr>
          <w:rFonts w:eastAsia="Times New Roman" w:cs="Times New Roman"/>
          <w:szCs w:val="20"/>
        </w:rPr>
        <w:t>be beneficial</w:t>
      </w:r>
      <w:r w:rsidRPr="00120553">
        <w:rPr>
          <w:rFonts w:eastAsia="Times New Roman" w:cs="Times New Roman"/>
          <w:szCs w:val="20"/>
        </w:rPr>
        <w:t xml:space="preserve"> to gain a full understanding of the effective use of AI technologies to bring about sustainable outcomes. Finally, as with other emerging technologies, this study underscores the need to </w:t>
      </w:r>
      <w:r w:rsidR="00FC509E">
        <w:rPr>
          <w:rFonts w:eastAsia="Times New Roman" w:cs="Times New Roman"/>
          <w:szCs w:val="20"/>
        </w:rPr>
        <w:t>incorporate advanced</w:t>
      </w:r>
      <w:r w:rsidRPr="00120553">
        <w:rPr>
          <w:rFonts w:eastAsia="Times New Roman" w:cs="Times New Roman"/>
          <w:szCs w:val="20"/>
        </w:rPr>
        <w:t xml:space="preserve"> technologies into supply chain practice as a means of </w:t>
      </w:r>
      <w:r w:rsidR="00FC509E">
        <w:rPr>
          <w:rFonts w:eastAsia="Times New Roman" w:cs="Times New Roman"/>
          <w:szCs w:val="20"/>
        </w:rPr>
        <w:t xml:space="preserve">achieving </w:t>
      </w:r>
      <w:r w:rsidRPr="00120553">
        <w:rPr>
          <w:rFonts w:eastAsia="Times New Roman" w:cs="Times New Roman"/>
          <w:szCs w:val="20"/>
        </w:rPr>
        <w:t>a more sustainable future.</w:t>
      </w:r>
    </w:p>
    <w:p w14:paraId="623B308E" w14:textId="00872863" w:rsidR="0097267E" w:rsidRDefault="0097267E" w:rsidP="004D7A47">
      <w:pPr>
        <w:spacing w:after="240"/>
        <w:rPr>
          <w:rFonts w:eastAsia="Times New Roman" w:cs="Times New Roman"/>
          <w:szCs w:val="20"/>
        </w:rPr>
      </w:pPr>
      <w:r w:rsidRPr="00120553">
        <w:rPr>
          <w:rFonts w:eastAsia="Times New Roman" w:cs="Times New Roman"/>
          <w:szCs w:val="20"/>
        </w:rPr>
        <w:t xml:space="preserve"> By embracing AI-powered solutions and creating an agile, </w:t>
      </w:r>
      <w:r w:rsidR="00FC509E">
        <w:rPr>
          <w:rFonts w:eastAsia="Times New Roman" w:cs="Times New Roman"/>
          <w:szCs w:val="20"/>
        </w:rPr>
        <w:t>tech-prepared</w:t>
      </w:r>
      <w:r w:rsidRPr="00120553">
        <w:rPr>
          <w:rFonts w:eastAsia="Times New Roman" w:cs="Times New Roman"/>
          <w:szCs w:val="20"/>
        </w:rPr>
        <w:t xml:space="preserve"> culture, organizations can not only make a meaningful contribution </w:t>
      </w:r>
      <w:r w:rsidR="00FC509E">
        <w:rPr>
          <w:rFonts w:eastAsia="Times New Roman" w:cs="Times New Roman"/>
          <w:szCs w:val="20"/>
        </w:rPr>
        <w:t>to environmental</w:t>
      </w:r>
      <w:r w:rsidRPr="00120553">
        <w:rPr>
          <w:rFonts w:eastAsia="Times New Roman" w:cs="Times New Roman"/>
          <w:szCs w:val="20"/>
        </w:rPr>
        <w:t xml:space="preserve"> </w:t>
      </w:r>
      <w:r w:rsidR="004D7A47" w:rsidRPr="00120553">
        <w:rPr>
          <w:rFonts w:eastAsia="Times New Roman" w:cs="Times New Roman"/>
          <w:szCs w:val="20"/>
        </w:rPr>
        <w:t>challenges but</w:t>
      </w:r>
      <w:r w:rsidRPr="00120553">
        <w:rPr>
          <w:rFonts w:eastAsia="Times New Roman" w:cs="Times New Roman"/>
          <w:szCs w:val="20"/>
        </w:rPr>
        <w:t xml:space="preserve"> also differentiate themselves in a rapidly growing eco-friendly marketplace.</w:t>
      </w:r>
    </w:p>
    <w:p w14:paraId="3976BD27" w14:textId="77777777" w:rsidR="00424237" w:rsidRDefault="00424237" w:rsidP="004D7A47">
      <w:pPr>
        <w:spacing w:after="240"/>
        <w:rPr>
          <w:rFonts w:eastAsia="Times New Roman" w:cs="Times New Roman"/>
          <w:szCs w:val="20"/>
        </w:rPr>
      </w:pPr>
    </w:p>
    <w:p w14:paraId="0046C194" w14:textId="77777777" w:rsidR="00424237" w:rsidRDefault="00424237" w:rsidP="004D7A47">
      <w:pPr>
        <w:spacing w:after="240"/>
        <w:rPr>
          <w:rFonts w:eastAsia="Times New Roman" w:cs="Times New Roman"/>
          <w:szCs w:val="20"/>
        </w:rPr>
      </w:pPr>
    </w:p>
    <w:p w14:paraId="23200EC8" w14:textId="77777777" w:rsidR="00A551DA" w:rsidRDefault="00A551DA" w:rsidP="004D7A47">
      <w:pPr>
        <w:spacing w:after="240"/>
        <w:rPr>
          <w:rFonts w:eastAsia="Times New Roman" w:cs="Times New Roman"/>
          <w:szCs w:val="20"/>
        </w:rPr>
      </w:pPr>
    </w:p>
    <w:p w14:paraId="7FF1A024" w14:textId="77777777" w:rsidR="00A551DA" w:rsidRDefault="00A551DA" w:rsidP="004D7A47">
      <w:pPr>
        <w:spacing w:after="240"/>
        <w:rPr>
          <w:rFonts w:eastAsia="Times New Roman" w:cs="Times New Roman"/>
          <w:szCs w:val="20"/>
        </w:rPr>
      </w:pPr>
    </w:p>
    <w:p w14:paraId="6EABFC77" w14:textId="77777777" w:rsidR="0090192B" w:rsidRPr="007D7513" w:rsidRDefault="0090192B" w:rsidP="0090192B">
      <w:pPr>
        <w:rPr>
          <w:b/>
          <w:bCs/>
          <w:color w:val="C45911" w:themeColor="accent2" w:themeShade="BF"/>
        </w:rPr>
      </w:pPr>
      <w:bookmarkStart w:id="4" w:name="OLE_LINK1"/>
      <w:bookmarkStart w:id="5" w:name="OLE_LINK2"/>
      <w:r w:rsidRPr="007D7513">
        <w:rPr>
          <w:b/>
          <w:bCs/>
          <w:color w:val="C45911" w:themeColor="accent2" w:themeShade="BF"/>
        </w:rPr>
        <w:lastRenderedPageBreak/>
        <w:t>Funding</w:t>
      </w:r>
    </w:p>
    <w:p w14:paraId="57015538" w14:textId="77777777" w:rsidR="0090192B" w:rsidRDefault="0090192B" w:rsidP="0090192B">
      <w:r w:rsidRPr="007D7513">
        <w:t>This research did not receive any funding.</w:t>
      </w:r>
    </w:p>
    <w:p w14:paraId="692F2613" w14:textId="77777777" w:rsidR="0090192B" w:rsidRPr="007D7513" w:rsidRDefault="0090192B" w:rsidP="0090192B"/>
    <w:p w14:paraId="50D493D9" w14:textId="77777777" w:rsidR="0090192B" w:rsidRPr="007D7513" w:rsidRDefault="0090192B" w:rsidP="0090192B">
      <w:pPr>
        <w:rPr>
          <w:b/>
          <w:bCs/>
          <w:color w:val="C45911" w:themeColor="accent2" w:themeShade="BF"/>
        </w:rPr>
      </w:pPr>
      <w:r w:rsidRPr="007D7513">
        <w:rPr>
          <w:b/>
          <w:bCs/>
          <w:color w:val="C45911" w:themeColor="accent2" w:themeShade="BF"/>
        </w:rPr>
        <w:t>Data availability</w:t>
      </w:r>
    </w:p>
    <w:p w14:paraId="0638C9B9" w14:textId="77777777" w:rsidR="0090192B" w:rsidRPr="007D7513" w:rsidRDefault="0090192B" w:rsidP="0090192B">
      <w:r w:rsidRPr="007D7513">
        <w:t>The datasets generated during and/or analyzed during the current study are available from the corresponding</w:t>
      </w:r>
    </w:p>
    <w:p w14:paraId="4B9F622C" w14:textId="77777777" w:rsidR="0090192B" w:rsidRDefault="0090192B" w:rsidP="0090192B">
      <w:r w:rsidRPr="007D7513">
        <w:t>author on reasonable request.</w:t>
      </w:r>
    </w:p>
    <w:p w14:paraId="3C861304" w14:textId="77777777" w:rsidR="0090192B" w:rsidRPr="007D7513" w:rsidRDefault="0090192B" w:rsidP="0090192B"/>
    <w:p w14:paraId="7E9462E8" w14:textId="77777777" w:rsidR="0090192B" w:rsidRPr="007D7513" w:rsidRDefault="0090192B" w:rsidP="0090192B">
      <w:pPr>
        <w:rPr>
          <w:b/>
          <w:bCs/>
          <w:color w:val="C45911" w:themeColor="accent2" w:themeShade="BF"/>
        </w:rPr>
      </w:pPr>
      <w:r w:rsidRPr="007D7513">
        <w:rPr>
          <w:b/>
          <w:bCs/>
          <w:color w:val="C45911" w:themeColor="accent2" w:themeShade="BF"/>
        </w:rPr>
        <w:t>Ethics approval and consent</w:t>
      </w:r>
    </w:p>
    <w:p w14:paraId="1DA3520C" w14:textId="77777777" w:rsidR="0090192B" w:rsidRPr="007D7513" w:rsidRDefault="0090192B" w:rsidP="0090192B">
      <w:r w:rsidRPr="007D7513">
        <w:t>Not applicable. This study uses publicly available, de-identified secondary data and does not involve human</w:t>
      </w:r>
    </w:p>
    <w:p w14:paraId="1D8F6244" w14:textId="77777777" w:rsidR="0090192B" w:rsidRDefault="0090192B" w:rsidP="0090192B">
      <w:r w:rsidRPr="007D7513">
        <w:t>participants or personal information.</w:t>
      </w:r>
    </w:p>
    <w:p w14:paraId="20B97E42" w14:textId="77777777" w:rsidR="0090192B" w:rsidRPr="007D7513" w:rsidRDefault="0090192B" w:rsidP="0090192B"/>
    <w:p w14:paraId="072D5C42" w14:textId="77777777" w:rsidR="0090192B" w:rsidRPr="007D7513" w:rsidRDefault="0090192B" w:rsidP="0090192B">
      <w:pPr>
        <w:rPr>
          <w:b/>
          <w:bCs/>
          <w:color w:val="C45911" w:themeColor="accent2" w:themeShade="BF"/>
        </w:rPr>
      </w:pPr>
      <w:r w:rsidRPr="007D7513">
        <w:rPr>
          <w:b/>
          <w:bCs/>
          <w:color w:val="C45911" w:themeColor="accent2" w:themeShade="BF"/>
        </w:rPr>
        <w:t>Competing interests</w:t>
      </w:r>
    </w:p>
    <w:p w14:paraId="7238FEE1" w14:textId="77777777" w:rsidR="0090192B" w:rsidRDefault="0090192B" w:rsidP="0090192B">
      <w:r w:rsidRPr="007D7513">
        <w:t>The authors declare no competing interests.</w:t>
      </w:r>
      <w:bookmarkEnd w:id="4"/>
    </w:p>
    <w:bookmarkEnd w:id="5"/>
    <w:p w14:paraId="7CB32DFE" w14:textId="77777777" w:rsidR="0097267E" w:rsidRDefault="0097267E" w:rsidP="0097267E"/>
    <w:p w14:paraId="102719AB" w14:textId="4E5318B4" w:rsidR="00551F25" w:rsidRDefault="00551F25" w:rsidP="0097267E">
      <w:pPr>
        <w:pStyle w:val="Heading1"/>
        <w:numPr>
          <w:ilvl w:val="0"/>
          <w:numId w:val="0"/>
        </w:numPr>
      </w:pPr>
      <w:r w:rsidRPr="00551F25">
        <w:t>References</w:t>
      </w:r>
    </w:p>
    <w:p w14:paraId="4A62A4EF" w14:textId="77777777" w:rsidR="00424237" w:rsidRPr="0090192B" w:rsidRDefault="00424237" w:rsidP="00424237">
      <w:r w:rsidRPr="0090192B">
        <w:t xml:space="preserve">[1] V. Agarwal, A. Hameed, S. Malhotra, K. </w:t>
      </w:r>
      <w:proofErr w:type="spellStart"/>
      <w:r w:rsidRPr="0090192B">
        <w:t>Mathiyazhagan</w:t>
      </w:r>
      <w:proofErr w:type="spellEnd"/>
      <w:r w:rsidRPr="0090192B">
        <w:t xml:space="preserve">, S. </w:t>
      </w:r>
      <w:proofErr w:type="spellStart"/>
      <w:r w:rsidRPr="0090192B">
        <w:t>Alathur</w:t>
      </w:r>
      <w:proofErr w:type="spellEnd"/>
      <w:r w:rsidRPr="0090192B">
        <w:t xml:space="preserve">, and A. </w:t>
      </w:r>
      <w:proofErr w:type="spellStart"/>
      <w:r w:rsidRPr="0090192B">
        <w:t>Appolloni</w:t>
      </w:r>
      <w:proofErr w:type="spellEnd"/>
      <w:r w:rsidRPr="0090192B">
        <w:t>, “Role of industry 4.0 in agile manufacturing to achieve sustainable development,” Business Strategy and the Environment, vol. 32, no. 6, pp. 3671–3688, 2022.</w:t>
      </w:r>
    </w:p>
    <w:p w14:paraId="455E34EC" w14:textId="77777777" w:rsidR="00424237" w:rsidRPr="0090192B" w:rsidRDefault="00424237" w:rsidP="00424237">
      <w:r w:rsidRPr="0090192B">
        <w:t>[2] T. Ahad, “Exploring the factors influencing mobile</w:t>
      </w:r>
      <w:r w:rsidRPr="0090192B">
        <w:rPr>
          <w:rFonts w:ascii="Cambria Math" w:hAnsi="Cambria Math" w:cs="Cambria Math"/>
        </w:rPr>
        <w:t>‐</w:t>
      </w:r>
      <w:r w:rsidRPr="0090192B">
        <w:t>based ubiquitous system adoption in the Bangladesh RMG sector: a view through DOI and TOE,” The Electronic Journal of Information Systems in Developing Countries, vol. 90, no. 1, 2023.</w:t>
      </w:r>
    </w:p>
    <w:p w14:paraId="4A21223E" w14:textId="77777777" w:rsidR="00424237" w:rsidRPr="0090192B" w:rsidRDefault="00424237" w:rsidP="00424237">
      <w:r w:rsidRPr="0090192B">
        <w:t>[3] R. Ahsan and F. Rahman, “Challenges in green supply chain management and barriers to reverse logistics practices in the RMG industries of Bangladesh,” Journal of Cleaner Production, vol. 245, 118935, 2023.</w:t>
      </w:r>
    </w:p>
    <w:p w14:paraId="742B7C90" w14:textId="77777777" w:rsidR="00424237" w:rsidRPr="0090192B" w:rsidRDefault="00424237" w:rsidP="00424237">
      <w:r w:rsidRPr="0090192B">
        <w:t>[4] A. Al-Zabidi, A. Rehman, and M. Alkahtani, “An approach to assess sustainable supply chain agility for a manufacturing organization,” Sustainability, vol. 13, no. 4, 1752, 2021.</w:t>
      </w:r>
    </w:p>
    <w:p w14:paraId="43568A90" w14:textId="77777777" w:rsidR="00424237" w:rsidRPr="0090192B" w:rsidRDefault="00424237" w:rsidP="00424237">
      <w:r w:rsidRPr="0090192B">
        <w:t>[5] H. Ara, J. Leen, and S. Hassan, “GMS for sustainability performance in the apparel manufacturing industry: a conceptual framework,” Vision: The Journal of Business Perspective, vol. 23, no. 2, pp. 170–179, 2019.</w:t>
      </w:r>
    </w:p>
    <w:p w14:paraId="6A0E7FAA" w14:textId="77777777" w:rsidR="00424237" w:rsidRPr="0090192B" w:rsidRDefault="00424237" w:rsidP="00424237">
      <w:r w:rsidRPr="0090192B">
        <w:t xml:space="preserve">[6] I. Arpaci, Y. C. Yardimci, S. Ozkan, and O. </w:t>
      </w:r>
      <w:proofErr w:type="spellStart"/>
      <w:r w:rsidRPr="0090192B">
        <w:t>Turetken</w:t>
      </w:r>
      <w:proofErr w:type="spellEnd"/>
      <w:r w:rsidRPr="0090192B">
        <w:t>, “Organizational adoption of information technologies: A literature review,” International Journal of eBusiness and eGovernment Studies, vol. 4, no. 2, pp. 37–50, 2012.</w:t>
      </w:r>
    </w:p>
    <w:p w14:paraId="4944964B" w14:textId="77777777" w:rsidR="00424237" w:rsidRPr="0090192B" w:rsidRDefault="00424237" w:rsidP="00424237">
      <w:r w:rsidRPr="0090192B">
        <w:t>[7] H. Aslam, C. Blome, S. Roscoe, and T. Azhar, “Dynamic supply chain capabilities,” International Journal of Operations &amp; Production Management, vol. 38, no. 12, pp. 2266–2285, 2018.</w:t>
      </w:r>
    </w:p>
    <w:p w14:paraId="6746868C" w14:textId="77777777" w:rsidR="00424237" w:rsidRPr="0090192B" w:rsidRDefault="00424237" w:rsidP="00424237">
      <w:r w:rsidRPr="0090192B">
        <w:t xml:space="preserve">[8] A. </w:t>
      </w:r>
      <w:proofErr w:type="spellStart"/>
      <w:r w:rsidRPr="0090192B">
        <w:t>Aziati</w:t>
      </w:r>
      <w:proofErr w:type="spellEnd"/>
      <w:r w:rsidRPr="0090192B">
        <w:t>, Y. Ling, F. Ahmad, and N. Abdullah, “The influence of information technology and operational competencies toward supply chain agility,” Journal of Physics Conference Series, vol. 1049, 012011, 2018.</w:t>
      </w:r>
    </w:p>
    <w:p w14:paraId="17A497C2" w14:textId="77777777" w:rsidR="00424237" w:rsidRPr="0090192B" w:rsidRDefault="00424237" w:rsidP="00424237">
      <w:r w:rsidRPr="0090192B">
        <w:t>[9] R. Azieva, “Assessing the readiness of oil and gas companies for digital transformation,” 2021.</w:t>
      </w:r>
    </w:p>
    <w:p w14:paraId="205E9A5C" w14:textId="77777777" w:rsidR="00424237" w:rsidRPr="0090192B" w:rsidRDefault="00424237" w:rsidP="00424237">
      <w:r w:rsidRPr="0090192B">
        <w:t xml:space="preserve">[10] S. Bag, A. </w:t>
      </w:r>
      <w:proofErr w:type="spellStart"/>
      <w:r w:rsidRPr="0090192B">
        <w:t>Telukdarie</w:t>
      </w:r>
      <w:proofErr w:type="spellEnd"/>
      <w:r w:rsidRPr="0090192B">
        <w:t>, J. H. C. Pretorius, and S. Gupta, “Industry 4.0 and supply chain agility: A systematic review,” International Journal of Production Economics, vol. 255, 108668, 2023.</w:t>
      </w:r>
    </w:p>
    <w:p w14:paraId="68548DB1" w14:textId="77777777" w:rsidR="00424237" w:rsidRPr="0090192B" w:rsidRDefault="00424237" w:rsidP="00424237">
      <w:r w:rsidRPr="0090192B">
        <w:t xml:space="preserve">[11] O. Bak, S. Shaw, C. </w:t>
      </w:r>
      <w:proofErr w:type="spellStart"/>
      <w:r w:rsidRPr="0090192B">
        <w:t>Colicchia</w:t>
      </w:r>
      <w:proofErr w:type="spellEnd"/>
      <w:r w:rsidRPr="0090192B">
        <w:t>, and V. Kumar, “A systematic literature review of supply chain resilience in SMEs,” IEEE Transactions on Engineering Management, vol. 70, no. 1, pp. 328–341, 2020.</w:t>
      </w:r>
    </w:p>
    <w:p w14:paraId="0ECCAA14" w14:textId="77777777" w:rsidR="00424237" w:rsidRPr="0090192B" w:rsidRDefault="00424237" w:rsidP="00424237">
      <w:r w:rsidRPr="0090192B">
        <w:t>[12] B. Bakri, “The effect of AI technology, innovation readiness, and digital entrepreneurship on competitive advantage in start-ups in Jakarta,” West Science Interdisciplinary Studies, vol. 2, no. 04, pp. 841–850, 2024.</w:t>
      </w:r>
    </w:p>
    <w:p w14:paraId="5CA56E85" w14:textId="77777777" w:rsidR="00424237" w:rsidRPr="0090192B" w:rsidRDefault="00424237" w:rsidP="00424237">
      <w:r w:rsidRPr="0090192B">
        <w:t>[13] BGMEA, Bangladesh garment industry statistics, Bangladesh Garment Manufacturers and Exporters Association, 2023.</w:t>
      </w:r>
    </w:p>
    <w:p w14:paraId="518DD96E" w14:textId="77777777" w:rsidR="00424237" w:rsidRPr="0090192B" w:rsidRDefault="00424237" w:rsidP="00424237">
      <w:r w:rsidRPr="0090192B">
        <w:t>[14] M. J. Braunscheidel and N. C. Suresh, “The organizational antecedents of a firm’s supply chain agility,” Journal of Operations Management, vol. 27, no. 2, pp. 119–140, 2009.</w:t>
      </w:r>
    </w:p>
    <w:p w14:paraId="49DB2721" w14:textId="77777777" w:rsidR="00424237" w:rsidRPr="0090192B" w:rsidRDefault="00424237" w:rsidP="00424237">
      <w:r w:rsidRPr="0090192B">
        <w:t xml:space="preserve">[15] U. </w:t>
      </w:r>
      <w:proofErr w:type="spellStart"/>
      <w:r w:rsidRPr="0090192B">
        <w:t>Bristi</w:t>
      </w:r>
      <w:proofErr w:type="spellEnd"/>
      <w:r w:rsidRPr="0090192B">
        <w:t xml:space="preserve">, M. Rajib, and S. </w:t>
      </w:r>
      <w:proofErr w:type="spellStart"/>
      <w:r w:rsidRPr="0090192B">
        <w:t>Shoukat</w:t>
      </w:r>
      <w:proofErr w:type="spellEnd"/>
      <w:r w:rsidRPr="0090192B">
        <w:t>, “Implementation of corporate social responsibility in the ready-made garment industry of Bangladesh,” Journal of Textile Science and Technology, vol. 6, no. 4, pp. 232–246, 2020.</w:t>
      </w:r>
    </w:p>
    <w:p w14:paraId="7778F27A" w14:textId="77777777" w:rsidR="00424237" w:rsidRPr="0090192B" w:rsidRDefault="00424237" w:rsidP="00424237">
      <w:r w:rsidRPr="0090192B">
        <w:t>[16] H. Carvalho, S. Duarte, and V. Machado, “Lean, agile, resilient, and green: divergencies and synergies,” International Journal of Lean Six Sigma, vol. 2, no. 2, pp. 151–179, 2011.</w:t>
      </w:r>
    </w:p>
    <w:p w14:paraId="75FB3C2F" w14:textId="77777777" w:rsidR="00424237" w:rsidRPr="0090192B" w:rsidRDefault="00424237" w:rsidP="00424237">
      <w:r w:rsidRPr="0090192B">
        <w:t>[17] C. Chen, “Big data analytics–AI and supply chain ambidexterity impacts on corporate image,” Industrial Management &amp; Data Systems, vol. 124, no. 10, pp. 2899–2918, 2024.</w:t>
      </w:r>
    </w:p>
    <w:p w14:paraId="4240DFAB" w14:textId="77777777" w:rsidR="00424237" w:rsidRPr="0090192B" w:rsidRDefault="00424237" w:rsidP="00424237">
      <w:r w:rsidRPr="0090192B">
        <w:t>[18] J. Chen and Y. Chang, “How smart technology empowers consumers in smart retail stores,” Electronic Markets, vol. 33, no. 1, 2023.</w:t>
      </w:r>
    </w:p>
    <w:p w14:paraId="4DD1820E" w14:textId="77777777" w:rsidR="00424237" w:rsidRPr="0090192B" w:rsidRDefault="00424237" w:rsidP="00424237">
      <w:r w:rsidRPr="0090192B">
        <w:t>[19] M. Chowdhury et al., “Developing a sustainable environmental management plan,” 2023.</w:t>
      </w:r>
    </w:p>
    <w:p w14:paraId="7977323E" w14:textId="77777777" w:rsidR="00424237" w:rsidRPr="0090192B" w:rsidRDefault="00424237" w:rsidP="00424237">
      <w:r w:rsidRPr="0090192B">
        <w:t>[20] M. Christopher and H. Peck, “Building the resilient supply chain,” The International Journal of Logistics Management, vol. 15, no. 2, pp. 1–13, 2004.</w:t>
      </w:r>
    </w:p>
    <w:p w14:paraId="30745538" w14:textId="77777777" w:rsidR="00424237" w:rsidRPr="00424237" w:rsidRDefault="00424237" w:rsidP="00424237">
      <w:r w:rsidRPr="00424237">
        <w:lastRenderedPageBreak/>
        <w:t xml:space="preserve">[21] N. Chukwu, “Resilient chain: AI-enhanced supply chain security and efficiency integration,” </w:t>
      </w:r>
      <w:r w:rsidRPr="0090192B">
        <w:t>IJSMR</w:t>
      </w:r>
      <w:r w:rsidRPr="00424237">
        <w:t>, vol. 7, no. 3, pp. 46–65, 2024.</w:t>
      </w:r>
    </w:p>
    <w:p w14:paraId="79F60913" w14:textId="77777777" w:rsidR="00424237" w:rsidRPr="00424237" w:rsidRDefault="00424237" w:rsidP="00424237">
      <w:r w:rsidRPr="00424237">
        <w:t xml:space="preserve">[22] F. Ciccullo, M. Pero, M. Caridi, J. Gosling, and L. Purvis, “Integrating the environmental and social sustainability pillars into lean and agile supply chain management paradigms: a literature review and future research directions,” </w:t>
      </w:r>
      <w:r w:rsidRPr="0090192B">
        <w:t>Journal of Cleaner Production</w:t>
      </w:r>
      <w:r w:rsidRPr="00424237">
        <w:t>, vol. 172, pp. 2336–2350, 2018.</w:t>
      </w:r>
    </w:p>
    <w:p w14:paraId="6EC725E5" w14:textId="77777777" w:rsidR="00424237" w:rsidRPr="00424237" w:rsidRDefault="00424237" w:rsidP="00424237">
      <w:r w:rsidRPr="00424237">
        <w:t xml:space="preserve">[23] M. Dora, A. Kumar, S. Mangla, A. Pant, and M. Kamal, “Critical success factors influencing artificial intelligence adoption in food supply chains,” </w:t>
      </w:r>
      <w:r w:rsidRPr="0090192B">
        <w:t>International Journal of Production Research</w:t>
      </w:r>
      <w:r w:rsidRPr="00424237">
        <w:t>, vol. 60, no. 14, pp. 4621–4640, 2021.</w:t>
      </w:r>
    </w:p>
    <w:p w14:paraId="6905B61A" w14:textId="77777777" w:rsidR="00424237" w:rsidRPr="00424237" w:rsidRDefault="00424237" w:rsidP="00424237">
      <w:r w:rsidRPr="00424237">
        <w:t xml:space="preserve">[24] R. Dubey, D. J. Bryde, C. Blome, D. </w:t>
      </w:r>
      <w:proofErr w:type="spellStart"/>
      <w:r w:rsidRPr="00424237">
        <w:t>Roubaud</w:t>
      </w:r>
      <w:proofErr w:type="spellEnd"/>
      <w:r w:rsidRPr="00424237">
        <w:t xml:space="preserve">, and C. </w:t>
      </w:r>
      <w:proofErr w:type="spellStart"/>
      <w:r w:rsidRPr="00424237">
        <w:t>Foropon</w:t>
      </w:r>
      <w:proofErr w:type="spellEnd"/>
      <w:r w:rsidRPr="00424237">
        <w:t xml:space="preserve">, “Supply chain agility, adaptability, and alignment: Empirical evidence from the Indian auto-components industry,” </w:t>
      </w:r>
      <w:r w:rsidRPr="0090192B">
        <w:t>International Journal of Operations &amp; Production Management</w:t>
      </w:r>
      <w:r w:rsidRPr="00424237">
        <w:t>, vol. 43, no. 1, pp. 1–26, 2023.</w:t>
      </w:r>
    </w:p>
    <w:p w14:paraId="1B2803A6" w14:textId="77777777" w:rsidR="00424237" w:rsidRPr="00424237" w:rsidRDefault="00424237" w:rsidP="00424237">
      <w:r w:rsidRPr="00424237">
        <w:t xml:space="preserve">[25] F. Ebinger and B. Omondi, “Leveraging digital approaches for transparency in sustainable supply chains: a conceptual paper,” </w:t>
      </w:r>
      <w:r w:rsidRPr="0090192B">
        <w:t>Sustainability</w:t>
      </w:r>
      <w:r w:rsidRPr="00424237">
        <w:t>, vol. 12, no. 15, 6129, 2020.</w:t>
      </w:r>
    </w:p>
    <w:p w14:paraId="6920C8F9" w14:textId="77777777" w:rsidR="00424237" w:rsidRPr="00424237" w:rsidRDefault="00424237" w:rsidP="00424237">
      <w:r w:rsidRPr="00424237">
        <w:t xml:space="preserve">[26] V. </w:t>
      </w:r>
      <w:proofErr w:type="spellStart"/>
      <w:r w:rsidRPr="00424237">
        <w:t>Ellaturu</w:t>
      </w:r>
      <w:proofErr w:type="spellEnd"/>
      <w:r w:rsidRPr="00424237">
        <w:t xml:space="preserve">, “AI-driven solutions for supply chain management,” </w:t>
      </w:r>
      <w:proofErr w:type="spellStart"/>
      <w:r w:rsidRPr="0090192B">
        <w:t>jier</w:t>
      </w:r>
      <w:proofErr w:type="spellEnd"/>
      <w:r w:rsidRPr="00424237">
        <w:t>, vol. 4, no. 2, 2024.</w:t>
      </w:r>
    </w:p>
    <w:p w14:paraId="29CAF836" w14:textId="77777777" w:rsidR="00424237" w:rsidRPr="00424237" w:rsidRDefault="00424237" w:rsidP="00424237">
      <w:r w:rsidRPr="00424237">
        <w:t xml:space="preserve">[27] P. Enis and S. Geisser, “Optimal predictive linear discriminants,” </w:t>
      </w:r>
      <w:r w:rsidRPr="0090192B">
        <w:t>The Annals of Statistics</w:t>
      </w:r>
      <w:r w:rsidRPr="00424237">
        <w:t>, pp. 403–410, 1974.</w:t>
      </w:r>
    </w:p>
    <w:p w14:paraId="6AA0FDD7" w14:textId="77777777" w:rsidR="00424237" w:rsidRPr="00424237" w:rsidRDefault="00424237" w:rsidP="00424237">
      <w:r w:rsidRPr="00424237">
        <w:t xml:space="preserve">[28] I. </w:t>
      </w:r>
      <w:proofErr w:type="spellStart"/>
      <w:r w:rsidRPr="00424237">
        <w:t>Etikan</w:t>
      </w:r>
      <w:proofErr w:type="spellEnd"/>
      <w:r w:rsidRPr="00424237">
        <w:t xml:space="preserve">, S. A. Musa, and R. S. Alkassim, “Comparison of convenience sampling and purposive sampling,” </w:t>
      </w:r>
      <w:r w:rsidRPr="0090192B">
        <w:t>American Journal of Theoretical and Applied Statistics</w:t>
      </w:r>
      <w:r w:rsidRPr="00424237">
        <w:t>, vol. 5, no. 1, pp. 1–4, 2016.</w:t>
      </w:r>
    </w:p>
    <w:p w14:paraId="3D371339" w14:textId="77777777" w:rsidR="00424237" w:rsidRPr="00424237" w:rsidRDefault="00424237" w:rsidP="00424237">
      <w:r w:rsidRPr="00424237">
        <w:t xml:space="preserve">[29] N. Eyo-Udo, “Leveraging artificial intelligence for enhanced supply chain optimization,” </w:t>
      </w:r>
      <w:r w:rsidRPr="0090192B">
        <w:t>Open Access Research Journal of Multidisciplinary Studies</w:t>
      </w:r>
      <w:r w:rsidRPr="00424237">
        <w:t>, vol. 7, no. 2, pp. 1–15, 2024.</w:t>
      </w:r>
    </w:p>
    <w:p w14:paraId="04E93DB0" w14:textId="77777777" w:rsidR="00424237" w:rsidRPr="00424237" w:rsidRDefault="00424237" w:rsidP="00424237">
      <w:r w:rsidRPr="00424237">
        <w:t xml:space="preserve">[30] S. Far, M. Akbari, and S. Clarke, “The effect of its integration on supply chain agility towards market performance (a proposed study),” </w:t>
      </w:r>
      <w:r w:rsidRPr="0090192B">
        <w:t>Informing Science</w:t>
      </w:r>
      <w:r w:rsidRPr="00424237">
        <w:t>, vol. 20, pp. 99–117, 2017.</w:t>
      </w:r>
    </w:p>
    <w:p w14:paraId="02F04376" w14:textId="77777777" w:rsidR="00424237" w:rsidRPr="00424237" w:rsidRDefault="00424237" w:rsidP="00424237">
      <w:r w:rsidRPr="00424237">
        <w:t xml:space="preserve">[31] K. Farhana, Z. Sneha, S. Mondol, F. Farin, and A. </w:t>
      </w:r>
      <w:proofErr w:type="spellStart"/>
      <w:r w:rsidRPr="00424237">
        <w:t>Mahamude</w:t>
      </w:r>
      <w:proofErr w:type="spellEnd"/>
      <w:r w:rsidRPr="00424237">
        <w:t xml:space="preserve">, “Business trend analysis of RMG industry in the context of the Bangladesh case study,” </w:t>
      </w:r>
      <w:r w:rsidRPr="0090192B">
        <w:t>International Journal of Industrial Management</w:t>
      </w:r>
      <w:r w:rsidRPr="00424237">
        <w:t>, vol. 14, no. 1, pp. 515–528, 2022.</w:t>
      </w:r>
    </w:p>
    <w:p w14:paraId="5658B406" w14:textId="77777777" w:rsidR="00424237" w:rsidRPr="00424237" w:rsidRDefault="00424237" w:rsidP="00424237">
      <w:r w:rsidRPr="00424237">
        <w:t xml:space="preserve">[32] C. Fornell and D. F. Larcker, “Evaluating structural equation models with unobservable variables and measurement error,” </w:t>
      </w:r>
      <w:r w:rsidRPr="0090192B">
        <w:t>Journal of Marketing Research</w:t>
      </w:r>
      <w:r w:rsidRPr="00424237">
        <w:t>, vol. 18, no. 1, pp. 39–50, 1981.</w:t>
      </w:r>
    </w:p>
    <w:p w14:paraId="23FF1FD4" w14:textId="77777777" w:rsidR="00424237" w:rsidRPr="00424237" w:rsidRDefault="00424237" w:rsidP="00424237">
      <w:r w:rsidRPr="00424237">
        <w:t xml:space="preserve">[33] J. F. Hair, J. J. Risher, M. Sarstedt, and C. M. Ringle, “When to use and how to report the results of PLS-SEM,” </w:t>
      </w:r>
      <w:r w:rsidRPr="0090192B">
        <w:t>European Business Review</w:t>
      </w:r>
      <w:r w:rsidRPr="00424237">
        <w:t>, vol. 31, no. 1, pp. 2–24, 2019.</w:t>
      </w:r>
    </w:p>
    <w:p w14:paraId="0D74C3BD" w14:textId="77777777" w:rsidR="00424237" w:rsidRPr="00424237" w:rsidRDefault="00424237" w:rsidP="00424237">
      <w:r w:rsidRPr="00424237">
        <w:t xml:space="preserve">[34] N. Halpern, D. </w:t>
      </w:r>
      <w:proofErr w:type="spellStart"/>
      <w:r w:rsidRPr="00424237">
        <w:t>Mwesiumo</w:t>
      </w:r>
      <w:proofErr w:type="spellEnd"/>
      <w:r w:rsidRPr="00424237">
        <w:t xml:space="preserve">, P. Suau-Sánchez, T. Budd, and S. Bråthen, “Ready for digital transformation? The effect of </w:t>
      </w:r>
      <w:proofErr w:type="spellStart"/>
      <w:r w:rsidRPr="00424237">
        <w:t>organisational</w:t>
      </w:r>
      <w:proofErr w:type="spellEnd"/>
      <w:r w:rsidRPr="00424237">
        <w:t xml:space="preserve"> readiness, innovation, airport size, and ownership on digital change at airports,” </w:t>
      </w:r>
      <w:r w:rsidRPr="0090192B">
        <w:t>Journal of Air Transport Management</w:t>
      </w:r>
      <w:r w:rsidRPr="00424237">
        <w:t>, vol. 90, 101949, 2021.</w:t>
      </w:r>
    </w:p>
    <w:p w14:paraId="5385D438" w14:textId="77777777" w:rsidR="00424237" w:rsidRPr="00424237" w:rsidRDefault="00424237" w:rsidP="00424237">
      <w:r w:rsidRPr="00424237">
        <w:t xml:space="preserve">[35] I. Hasan, M. Islam, and S. Khan, “Ready-made garment industry attractiveness: the case of Bangladesh garments’ blue-collar employees,” </w:t>
      </w:r>
      <w:r w:rsidRPr="0090192B">
        <w:t>International Journal of Emerging Markets</w:t>
      </w:r>
      <w:r w:rsidRPr="00424237">
        <w:t>, vol. 17, no. 5, pp. 1218–1237, 2020.</w:t>
      </w:r>
    </w:p>
    <w:p w14:paraId="502B48C7" w14:textId="77777777" w:rsidR="00424237" w:rsidRPr="00424237" w:rsidRDefault="00424237" w:rsidP="00424237">
      <w:r w:rsidRPr="00424237">
        <w:t xml:space="preserve">[36] M. M. Hasan, M. </w:t>
      </w:r>
      <w:proofErr w:type="spellStart"/>
      <w:r w:rsidRPr="00424237">
        <w:t>Nekmahmud</w:t>
      </w:r>
      <w:proofErr w:type="spellEnd"/>
      <w:r w:rsidRPr="00424237">
        <w:t xml:space="preserve">, and M. A. Patwary, “Green supply chain management in the Bangladeshi RMG sector: Drivers and barriers for sustainability,” </w:t>
      </w:r>
      <w:r w:rsidRPr="0090192B">
        <w:t>Journal of Cleaner Production</w:t>
      </w:r>
      <w:r w:rsidRPr="00424237">
        <w:t>, vol. 363, 132571, 2022.</w:t>
      </w:r>
    </w:p>
    <w:p w14:paraId="2793CB5E" w14:textId="77777777" w:rsidR="00424237" w:rsidRPr="00424237" w:rsidRDefault="00424237" w:rsidP="00424237">
      <w:r w:rsidRPr="00424237">
        <w:t xml:space="preserve">[37] C. Hendriksen, “Artificial intelligence for supply chain management: disruptive innovation or innovative disruption?,” </w:t>
      </w:r>
      <w:r w:rsidRPr="0090192B">
        <w:t>Journal of Supply Chain Management</w:t>
      </w:r>
      <w:r w:rsidRPr="00424237">
        <w:t>, vol. 59, no. 3, pp. 65–76, 2023.</w:t>
      </w:r>
    </w:p>
    <w:p w14:paraId="6BED9D27" w14:textId="77777777" w:rsidR="00424237" w:rsidRPr="00424237" w:rsidRDefault="00424237" w:rsidP="00424237">
      <w:r w:rsidRPr="00424237">
        <w:t xml:space="preserve">[38] J. Henseler, C. M. Ringle, and M. Sarstedt, “A new criterion for assessing discriminant validity in variance-based structural equation modeling,” </w:t>
      </w:r>
      <w:r w:rsidRPr="0090192B">
        <w:t>Journal of the Academy of Marketing Science</w:t>
      </w:r>
      <w:r w:rsidRPr="00424237">
        <w:t>, vol. 43, no. 1, pp. 115–135, 2015.</w:t>
      </w:r>
    </w:p>
    <w:p w14:paraId="15B2D05D" w14:textId="77777777" w:rsidR="00424237" w:rsidRPr="00424237" w:rsidRDefault="00424237" w:rsidP="00424237">
      <w:r w:rsidRPr="00424237">
        <w:t>[39] S. Holloway, “The synergy between supply chain agility and marketing flexibility: a qualitative study of adaptation strategies in turbulent markets,” 2024.</w:t>
      </w:r>
    </w:p>
    <w:p w14:paraId="07F0488B" w14:textId="77777777" w:rsidR="00424237" w:rsidRPr="00424237" w:rsidRDefault="00424237" w:rsidP="00424237">
      <w:r w:rsidRPr="00424237">
        <w:t xml:space="preserve">[40] R. A. Inman and K. W. Green, “Supply chain complexity and traceability in adverse events revisited: a COVID-19 perspective,” </w:t>
      </w:r>
      <w:r w:rsidRPr="0090192B">
        <w:t>IEEE Transactions on Engineering Management</w:t>
      </w:r>
      <w:r w:rsidRPr="00424237">
        <w:t>, vol. 71, pp. 7134–7146, 2023.</w:t>
      </w:r>
    </w:p>
    <w:p w14:paraId="281BBE49" w14:textId="77777777" w:rsidR="00424237" w:rsidRPr="00424237" w:rsidRDefault="00424237" w:rsidP="00424237">
      <w:r w:rsidRPr="00424237">
        <w:t>[41] M. Islam, “Does an export</w:t>
      </w:r>
      <w:r w:rsidRPr="0090192B">
        <w:rPr>
          <w:rFonts w:ascii="Cambria Math" w:hAnsi="Cambria Math" w:cs="Cambria Math"/>
        </w:rPr>
        <w:t>‐</w:t>
      </w:r>
      <w:r w:rsidRPr="00424237">
        <w:t>led growth proposition exist for Bangladesh's ready</w:t>
      </w:r>
      <w:r w:rsidRPr="0090192B">
        <w:rPr>
          <w:rFonts w:ascii="Cambria Math" w:hAnsi="Cambria Math" w:cs="Cambria Math"/>
        </w:rPr>
        <w:t>‐</w:t>
      </w:r>
      <w:r w:rsidRPr="00424237">
        <w:t>made garments sector? A nonlinear ARDL approach,</w:t>
      </w:r>
      <w:r w:rsidRPr="0090192B">
        <w:t>”</w:t>
      </w:r>
      <w:r w:rsidRPr="00424237">
        <w:t xml:space="preserve"> </w:t>
      </w:r>
      <w:r w:rsidRPr="0090192B">
        <w:t>Regional Science Policy &amp; Practice</w:t>
      </w:r>
      <w:r w:rsidRPr="00424237">
        <w:t>, vol. 15, no. 5, pp. 939–956, 2023.</w:t>
      </w:r>
    </w:p>
    <w:p w14:paraId="4B5FBC6D" w14:textId="77777777" w:rsidR="00424237" w:rsidRPr="00424237" w:rsidRDefault="00424237" w:rsidP="00424237">
      <w:r w:rsidRPr="00424237">
        <w:t xml:space="preserve">[42] D. Ivanov, A. </w:t>
      </w:r>
      <w:proofErr w:type="spellStart"/>
      <w:r w:rsidRPr="00424237">
        <w:t>Dolgui</w:t>
      </w:r>
      <w:proofErr w:type="spellEnd"/>
      <w:r w:rsidRPr="00424237">
        <w:t xml:space="preserve">, and B. Sokolov, “The impact of digital technology and Industry 4.0 on the ripple effect and supply chain risk analytics,” </w:t>
      </w:r>
      <w:r w:rsidRPr="0090192B">
        <w:t>International Journal of Production Research</w:t>
      </w:r>
      <w:r w:rsidRPr="00424237">
        <w:t>, vol. 57, no. 3, pp. 829–848, 2019.</w:t>
      </w:r>
    </w:p>
    <w:p w14:paraId="32CC8D7F" w14:textId="77777777" w:rsidR="00424237" w:rsidRPr="00424237" w:rsidRDefault="00424237" w:rsidP="00424237">
      <w:r w:rsidRPr="00424237">
        <w:t xml:space="preserve">[43] D. </w:t>
      </w:r>
      <w:proofErr w:type="spellStart"/>
      <w:r w:rsidRPr="00424237">
        <w:t>Jewapatarakul</w:t>
      </w:r>
      <w:proofErr w:type="spellEnd"/>
      <w:r w:rsidRPr="00424237">
        <w:t xml:space="preserve">, “Digital organizational culture, organizational readiness, and knowledge acquisition affecting digital transformation in SMEs from the food manufacturing sector,” </w:t>
      </w:r>
      <w:r w:rsidRPr="0090192B">
        <w:t>Sage Open</w:t>
      </w:r>
      <w:r w:rsidRPr="00424237">
        <w:t>, vol. 14, no. 4, 2024.</w:t>
      </w:r>
    </w:p>
    <w:p w14:paraId="6C5D0A30" w14:textId="77777777" w:rsidR="00424237" w:rsidRPr="00424237" w:rsidRDefault="00424237" w:rsidP="00424237">
      <w:r w:rsidRPr="00424237">
        <w:lastRenderedPageBreak/>
        <w:t xml:space="preserve">[44] O. Joel, A. Oyewole, O. </w:t>
      </w:r>
      <w:proofErr w:type="spellStart"/>
      <w:r w:rsidRPr="00424237">
        <w:t>Odunaiya</w:t>
      </w:r>
      <w:proofErr w:type="spellEnd"/>
      <w:r w:rsidRPr="00424237">
        <w:t xml:space="preserve">, and O. </w:t>
      </w:r>
      <w:proofErr w:type="spellStart"/>
      <w:r w:rsidRPr="00424237">
        <w:t>Soyombo</w:t>
      </w:r>
      <w:proofErr w:type="spellEnd"/>
      <w:r w:rsidRPr="00424237">
        <w:t xml:space="preserve">, “Leveraging artificial intelligence for enhanced supply chain optimization: a comprehensive review of current practices and future potentials,” </w:t>
      </w:r>
      <w:r w:rsidRPr="0090192B">
        <w:t>International Journal of Management &amp; Entrepreneurship Research</w:t>
      </w:r>
      <w:r w:rsidRPr="00424237">
        <w:t>, vol. 6, no. 3, pp. 707–721, 2024.</w:t>
      </w:r>
    </w:p>
    <w:p w14:paraId="485CD776" w14:textId="77777777" w:rsidR="00424237" w:rsidRPr="00424237" w:rsidRDefault="00424237" w:rsidP="00424237">
      <w:r w:rsidRPr="00424237">
        <w:t xml:space="preserve">[45] S. S. Kamble, A. Gunasekaran, and S. A. </w:t>
      </w:r>
      <w:proofErr w:type="spellStart"/>
      <w:r w:rsidRPr="00424237">
        <w:t>Gawankar</w:t>
      </w:r>
      <w:proofErr w:type="spellEnd"/>
      <w:r w:rsidRPr="00424237">
        <w:t xml:space="preserve">, “Achieving sustainable performance in a data-driven agriculture supply chain: A review for research and applications,” </w:t>
      </w:r>
      <w:r w:rsidRPr="0090192B">
        <w:t>International Journal of Production Economics</w:t>
      </w:r>
      <w:r w:rsidRPr="00424237">
        <w:t>, vol. 219, pp. 179–194, 2021.</w:t>
      </w:r>
    </w:p>
    <w:p w14:paraId="2CC2A5CE" w14:textId="77777777" w:rsidR="00424237" w:rsidRPr="00424237" w:rsidRDefault="00424237" w:rsidP="00424237">
      <w:r w:rsidRPr="00424237">
        <w:t xml:space="preserve">[46] İ. </w:t>
      </w:r>
      <w:proofErr w:type="spellStart"/>
      <w:r w:rsidRPr="00424237">
        <w:t>Kazançoğlu</w:t>
      </w:r>
      <w:proofErr w:type="spellEnd"/>
      <w:r w:rsidRPr="00424237">
        <w:t xml:space="preserve">, M. </w:t>
      </w:r>
      <w:proofErr w:type="spellStart"/>
      <w:r w:rsidRPr="00424237">
        <w:t>Özbiltekin</w:t>
      </w:r>
      <w:proofErr w:type="spellEnd"/>
      <w:r w:rsidRPr="00424237">
        <w:t xml:space="preserve">-Pala, S. Mangla, A. Kumar, and Y. </w:t>
      </w:r>
      <w:proofErr w:type="spellStart"/>
      <w:r w:rsidRPr="00424237">
        <w:t>Kazançoğlu</w:t>
      </w:r>
      <w:proofErr w:type="spellEnd"/>
      <w:r w:rsidRPr="00424237">
        <w:t xml:space="preserve">, “Using emerging technologies to improve the sustainability and resilience of supply chains in a fuzzy environment in the context of COVID-19,” </w:t>
      </w:r>
      <w:r w:rsidRPr="0090192B">
        <w:t>Annals of Operations Research</w:t>
      </w:r>
      <w:r w:rsidRPr="00424237">
        <w:t>, vol. 322, no. 1, pp. 217–240, 2022.</w:t>
      </w:r>
    </w:p>
    <w:p w14:paraId="425FA4CE" w14:textId="77777777" w:rsidR="00424237" w:rsidRPr="00424237" w:rsidRDefault="00424237" w:rsidP="00424237">
      <w:r w:rsidRPr="00424237">
        <w:t xml:space="preserve">[47] A. Khan and A. Rahman, “Assessing supply chain agility and technological readiness in the digital era,” </w:t>
      </w:r>
      <w:r w:rsidRPr="0090192B">
        <w:t>Journal of Business Logistics</w:t>
      </w:r>
      <w:r w:rsidRPr="00424237">
        <w:t>, vol. 44, no. 4, pp. 100–120, 2023.</w:t>
      </w:r>
    </w:p>
    <w:p w14:paraId="6A424BEC" w14:textId="77777777" w:rsidR="00424237" w:rsidRPr="00424237" w:rsidRDefault="00424237" w:rsidP="00424237">
      <w:r w:rsidRPr="00424237">
        <w:t xml:space="preserve">[48] A. Khan et al., “Supply chain ambidexterity and green SCM: moderating role of network capabilities,” </w:t>
      </w:r>
      <w:r w:rsidRPr="0090192B">
        <w:t>Sustainability</w:t>
      </w:r>
      <w:r w:rsidRPr="00424237">
        <w:t>, vol. 13, no. 11, 5974, 2021.</w:t>
      </w:r>
    </w:p>
    <w:p w14:paraId="0C679BD1" w14:textId="77777777" w:rsidR="00424237" w:rsidRPr="00424237" w:rsidRDefault="00424237" w:rsidP="00424237">
      <w:r w:rsidRPr="00424237">
        <w:t xml:space="preserve">[49] R. Khan and Z. Islam, “The role of AI in supply chain optimization: Evidence from Bangladesh's RMG industry,” </w:t>
      </w:r>
      <w:r w:rsidRPr="0090192B">
        <w:t>International Journal of Supply Chain Management</w:t>
      </w:r>
      <w:r w:rsidRPr="00424237">
        <w:t>, vol. 18, no. 1, pp. 45–63, 2023.</w:t>
      </w:r>
    </w:p>
    <w:p w14:paraId="7DD156CC" w14:textId="77777777" w:rsidR="00424237" w:rsidRPr="00424237" w:rsidRDefault="00424237" w:rsidP="00424237">
      <w:r w:rsidRPr="00424237">
        <w:t xml:space="preserve">[50] M. Krishnan, “Enhancing supply chain efficiency to build next-gen AI/ML network through AI-driven forecasting,” </w:t>
      </w:r>
      <w:r w:rsidRPr="0090192B">
        <w:t>International Journal of Supply Chain Management</w:t>
      </w:r>
      <w:r w:rsidRPr="00424237">
        <w:t>, vol. 13, no. 3, pp. 28–41, 2024.</w:t>
      </w:r>
    </w:p>
    <w:p w14:paraId="6AFFCFB2" w14:textId="77777777" w:rsidR="00424237" w:rsidRPr="00424237" w:rsidRDefault="00424237" w:rsidP="00424237">
      <w:r w:rsidRPr="00424237">
        <w:t xml:space="preserve">[51] P. Kumar and R. Mehta, “Artificial intelligence and big data analytics for supply chain resilience: A systematic literature review,” </w:t>
      </w:r>
      <w:r w:rsidRPr="0090192B">
        <w:t>Annals of Operations Research</w:t>
      </w:r>
      <w:r w:rsidRPr="00424237">
        <w:t>, vol. 320, no. 1–2, pp. 75–102, 2023.</w:t>
      </w:r>
    </w:p>
    <w:p w14:paraId="72CFE209" w14:textId="77777777" w:rsidR="00424237" w:rsidRPr="00424237" w:rsidRDefault="00424237" w:rsidP="00424237">
      <w:r w:rsidRPr="00424237">
        <w:t xml:space="preserve">[52] F. Li, Y. Zhao, J. Ortiz, and Y. Chen, “How does digital technology innovation affect the internationalization performance of Chinese enterprises? The moderating effect of sustainability readiness,” </w:t>
      </w:r>
      <w:r w:rsidRPr="0090192B">
        <w:t>Sustainability</w:t>
      </w:r>
      <w:r w:rsidRPr="00424237">
        <w:t>, vol. 15, no. 14, 11126, 2023.</w:t>
      </w:r>
    </w:p>
    <w:p w14:paraId="2C1F7592" w14:textId="77777777" w:rsidR="00424237" w:rsidRPr="00424237" w:rsidRDefault="00424237" w:rsidP="00424237">
      <w:r w:rsidRPr="00424237">
        <w:t xml:space="preserve">[53] F. </w:t>
      </w:r>
      <w:proofErr w:type="spellStart"/>
      <w:r w:rsidRPr="00424237">
        <w:t>Makudza</w:t>
      </w:r>
      <w:proofErr w:type="spellEnd"/>
      <w:r w:rsidRPr="00424237">
        <w:t xml:space="preserve">, D. </w:t>
      </w:r>
      <w:proofErr w:type="spellStart"/>
      <w:r w:rsidRPr="00424237">
        <w:t>Jaravaza</w:t>
      </w:r>
      <w:proofErr w:type="spellEnd"/>
      <w:r w:rsidRPr="00424237">
        <w:t xml:space="preserve">, T. </w:t>
      </w:r>
      <w:proofErr w:type="spellStart"/>
      <w:r w:rsidRPr="00424237">
        <w:t>Govha</w:t>
      </w:r>
      <w:proofErr w:type="spellEnd"/>
      <w:r w:rsidRPr="00424237">
        <w:t xml:space="preserve">, P. Mukucha, and F. </w:t>
      </w:r>
      <w:proofErr w:type="spellStart"/>
      <w:r w:rsidRPr="00424237">
        <w:t>Saruchera</w:t>
      </w:r>
      <w:proofErr w:type="spellEnd"/>
      <w:r w:rsidRPr="00424237">
        <w:t xml:space="preserve">, “Enhancing supply chain agility through e-procurement in a volatile frontier market,” </w:t>
      </w:r>
      <w:r w:rsidRPr="0090192B">
        <w:t>Journal of Transport and Supply Chain Management</w:t>
      </w:r>
      <w:r w:rsidRPr="00424237">
        <w:t>, vol. 17, 2023.</w:t>
      </w:r>
    </w:p>
    <w:p w14:paraId="4DEE3715" w14:textId="77777777" w:rsidR="00424237" w:rsidRPr="00424237" w:rsidRDefault="00424237" w:rsidP="00424237">
      <w:r w:rsidRPr="00424237">
        <w:t xml:space="preserve">[54] L. Martinez, “Sustainable supply chain management: A literature review and implications for future research,” </w:t>
      </w:r>
      <w:r w:rsidRPr="0090192B">
        <w:t>Journal of Sustainable Operations</w:t>
      </w:r>
      <w:r w:rsidRPr="00424237">
        <w:t>, vol. 12, no. 4, pp. 240–260, 2023.</w:t>
      </w:r>
    </w:p>
    <w:p w14:paraId="46C400B0" w14:textId="77777777" w:rsidR="00424237" w:rsidRPr="00424237" w:rsidRDefault="00424237" w:rsidP="00424237">
      <w:r w:rsidRPr="00424237">
        <w:t xml:space="preserve">[55] S. Mia and M. Akter, “Ready-made garments sector of Bangladesh: its growth, contribution, and challenges,” </w:t>
      </w:r>
      <w:r w:rsidRPr="0090192B">
        <w:t>Economics World</w:t>
      </w:r>
      <w:r w:rsidRPr="00424237">
        <w:t>, vol. 7, no. 1, 2019.</w:t>
      </w:r>
    </w:p>
    <w:p w14:paraId="685B3488" w14:textId="77777777" w:rsidR="00424237" w:rsidRPr="00424237" w:rsidRDefault="00424237" w:rsidP="00424237">
      <w:r w:rsidRPr="00424237">
        <w:t xml:space="preserve">[56] B. Mohsen, “Impact of artificial intelligence on supply chain management performance,” </w:t>
      </w:r>
      <w:r w:rsidRPr="0090192B">
        <w:t>Journal of Service Science and Management</w:t>
      </w:r>
      <w:r w:rsidRPr="00424237">
        <w:t>, vol. 16, no. 01, pp. 44–58, 2023.</w:t>
      </w:r>
    </w:p>
    <w:p w14:paraId="0DFB2205" w14:textId="77777777" w:rsidR="00424237" w:rsidRPr="00424237" w:rsidRDefault="00424237" w:rsidP="00424237">
      <w:r w:rsidRPr="00424237">
        <w:t xml:space="preserve">[57] J. </w:t>
      </w:r>
      <w:proofErr w:type="spellStart"/>
      <w:r w:rsidRPr="00424237">
        <w:t>Muthaluri</w:t>
      </w:r>
      <w:proofErr w:type="spellEnd"/>
      <w:r w:rsidRPr="00424237">
        <w:t xml:space="preserve">, “Optimizing supply chain management and marketing strategies: AI and ML integration for competitive advantage,” </w:t>
      </w:r>
      <w:r w:rsidRPr="0090192B">
        <w:t>EATP</w:t>
      </w:r>
      <w:r w:rsidRPr="00424237">
        <w:t>, pp. 8990–8997, 2024.</w:t>
      </w:r>
    </w:p>
    <w:p w14:paraId="7654E0C5" w14:textId="77777777" w:rsidR="00424237" w:rsidRPr="00424237" w:rsidRDefault="00424237" w:rsidP="00424237">
      <w:r w:rsidRPr="00424237">
        <w:t xml:space="preserve">[58] J. C. Nunnally, “An overview of psychological measurement,” in </w:t>
      </w:r>
      <w:r w:rsidRPr="0090192B">
        <w:t>Clinical Diagnosis of Mental Disorders: A Handbook</w:t>
      </w:r>
      <w:r w:rsidRPr="00424237">
        <w:t>, pp. 97–146, 1978.</w:t>
      </w:r>
    </w:p>
    <w:p w14:paraId="313FE64B" w14:textId="77777777" w:rsidR="00424237" w:rsidRPr="00424237" w:rsidRDefault="00424237" w:rsidP="00424237">
      <w:r w:rsidRPr="00424237">
        <w:t xml:space="preserve">[59] S. Pal, “AI's Promethean hand in supply chain resilience: A framework for global commercial success,” </w:t>
      </w:r>
      <w:r w:rsidRPr="0090192B">
        <w:t>International Journal of Progressive Research in Engineering Management and Science (IJPREMS)</w:t>
      </w:r>
      <w:r w:rsidRPr="00424237">
        <w:t>, vol. 3, no. 05, pp. 668–672, 2023.</w:t>
      </w:r>
    </w:p>
    <w:p w14:paraId="7B72A77B" w14:textId="77777777" w:rsidR="00424237" w:rsidRPr="00424237" w:rsidRDefault="00424237" w:rsidP="00424237">
      <w:r w:rsidRPr="00424237">
        <w:t xml:space="preserve">[60] P. M. Podsakoff, N. P. Podsakoff, L. J. Williams, C. Huang, and J. Yang, “Common method bias: It's bad, it's complex, it's widespread, and it's not easy to fix,” </w:t>
      </w:r>
      <w:r w:rsidRPr="0090192B">
        <w:t>Annual Review of Organizational Psychology and Organizational Behavior</w:t>
      </w:r>
      <w:r w:rsidRPr="00424237">
        <w:t>, vol. 11, no. 1, pp. 17–61, 2024.</w:t>
      </w:r>
    </w:p>
    <w:p w14:paraId="78900A86" w14:textId="77777777" w:rsidR="00424237" w:rsidRPr="00424237" w:rsidRDefault="00424237" w:rsidP="00424237">
      <w:r w:rsidRPr="00424237">
        <w:t xml:space="preserve">[61] K. J. Preacher and A. F. Hayes, “SPSS and SAS procedures for estimating indirect effects in simple mediation models,” </w:t>
      </w:r>
      <w:r w:rsidRPr="0090192B">
        <w:t>Behavior Research Methods, Instruments, &amp; Computers</w:t>
      </w:r>
      <w:r w:rsidRPr="00424237">
        <w:t>, vol. 36, pp. 717–731, 2004.</w:t>
      </w:r>
    </w:p>
    <w:p w14:paraId="48F0A5CC" w14:textId="77777777" w:rsidR="00424237" w:rsidRPr="00424237" w:rsidRDefault="00424237" w:rsidP="00424237">
      <w:r w:rsidRPr="00424237">
        <w:t xml:space="preserve">[62] A. M. Queiroz et al., “O ‘NOVO’ da COVID-19: </w:t>
      </w:r>
      <w:proofErr w:type="spellStart"/>
      <w:r w:rsidRPr="00424237">
        <w:t>impactos</w:t>
      </w:r>
      <w:proofErr w:type="spellEnd"/>
      <w:r w:rsidRPr="00424237">
        <w:t xml:space="preserve"> </w:t>
      </w:r>
      <w:proofErr w:type="spellStart"/>
      <w:r w:rsidRPr="00424237">
        <w:t>na</w:t>
      </w:r>
      <w:proofErr w:type="spellEnd"/>
      <w:r w:rsidRPr="00424237">
        <w:t xml:space="preserve"> </w:t>
      </w:r>
      <w:proofErr w:type="spellStart"/>
      <w:r w:rsidRPr="00424237">
        <w:t>saúde</w:t>
      </w:r>
      <w:proofErr w:type="spellEnd"/>
      <w:r w:rsidRPr="00424237">
        <w:t xml:space="preserve"> mental de </w:t>
      </w:r>
      <w:proofErr w:type="spellStart"/>
      <w:r w:rsidRPr="00424237">
        <w:t>profissionais</w:t>
      </w:r>
      <w:proofErr w:type="spellEnd"/>
      <w:r w:rsidRPr="00424237">
        <w:t xml:space="preserve"> de </w:t>
      </w:r>
      <w:proofErr w:type="spellStart"/>
      <w:r w:rsidRPr="00424237">
        <w:t>enfermagem</w:t>
      </w:r>
      <w:proofErr w:type="spellEnd"/>
      <w:r w:rsidRPr="00424237">
        <w:t xml:space="preserve">?,” </w:t>
      </w:r>
      <w:r w:rsidRPr="0090192B">
        <w:t>Acta Paulista de Enfermagem</w:t>
      </w:r>
      <w:r w:rsidRPr="00424237">
        <w:t>, vol. 34, eAPE02523, 2021.</w:t>
      </w:r>
    </w:p>
    <w:p w14:paraId="53156B55" w14:textId="77777777" w:rsidR="00424237" w:rsidRPr="00424237" w:rsidRDefault="00424237" w:rsidP="00424237">
      <w:r w:rsidRPr="00424237">
        <w:t xml:space="preserve">[63] R., “Industry 5.0 in manufacturing: enhancing resilience and responsibility through AI-driven predictive maintenance, quality control, and supply chain optimization,” </w:t>
      </w:r>
      <w:r w:rsidRPr="0090192B">
        <w:t>International Journal for Multidisciplinary Research</w:t>
      </w:r>
      <w:r w:rsidRPr="00424237">
        <w:t>, vol. 6, no. 4, 2024.</w:t>
      </w:r>
    </w:p>
    <w:p w14:paraId="77C38F1E" w14:textId="77777777" w:rsidR="00424237" w:rsidRPr="00424237" w:rsidRDefault="00424237" w:rsidP="00424237">
      <w:r w:rsidRPr="00424237">
        <w:t xml:space="preserve">[64] D. Rahman, “Supply chain agility evaluation using the fishbone method,” </w:t>
      </w:r>
      <w:r w:rsidRPr="0090192B">
        <w:t>The International Journal of Business Review (The Jobs Review)</w:t>
      </w:r>
      <w:r w:rsidRPr="00424237">
        <w:t>, vol. 4, no. 1, pp. 69–78, 2021.</w:t>
      </w:r>
    </w:p>
    <w:p w14:paraId="245659AD" w14:textId="77777777" w:rsidR="00424237" w:rsidRPr="00424237" w:rsidRDefault="00424237" w:rsidP="00424237">
      <w:r w:rsidRPr="00424237">
        <w:t xml:space="preserve">[65] S. Rahman, M. Ahmed, and A. Chowdhury, “Supply chain management for sustainable RMG growth in Bangladesh,” </w:t>
      </w:r>
      <w:r w:rsidRPr="0090192B">
        <w:t>Journal of Textile and Apparel</w:t>
      </w:r>
      <w:r w:rsidRPr="00424237">
        <w:t>, vol. 7, no. 2, pp. 120–136, 2023.</w:t>
      </w:r>
    </w:p>
    <w:p w14:paraId="1FBB0B5B" w14:textId="77777777" w:rsidR="00424237" w:rsidRPr="00424237" w:rsidRDefault="00424237" w:rsidP="00424237">
      <w:r w:rsidRPr="00424237">
        <w:t xml:space="preserve">[66] S. Rajput and S. P. Singh, “Industry 4.0 model for circular economy and environmental performance in supply chains,” </w:t>
      </w:r>
      <w:r w:rsidRPr="0090192B">
        <w:t>Journal of Business Research</w:t>
      </w:r>
      <w:r w:rsidRPr="00424237">
        <w:t>, vol. 158, 113507, 2023.</w:t>
      </w:r>
    </w:p>
    <w:p w14:paraId="65AF5CCD" w14:textId="77777777" w:rsidR="00424237" w:rsidRPr="00424237" w:rsidRDefault="00424237" w:rsidP="00424237">
      <w:r w:rsidRPr="00424237">
        <w:lastRenderedPageBreak/>
        <w:t xml:space="preserve">[67] A. Rashid, N. Baloch, R. Rasheed, and A. Ngah, “Big data analytics-artificial intelligence, and sustainable performance through green supply chain practices in manufacturing firms of a developing country,” </w:t>
      </w:r>
      <w:r w:rsidRPr="0090192B">
        <w:t>Journal of Science and Technology Policy Management</w:t>
      </w:r>
      <w:r w:rsidRPr="00424237">
        <w:t>, vol. 16, no. 1, pp. 42–67, 2024.</w:t>
      </w:r>
    </w:p>
    <w:p w14:paraId="13880DE6" w14:textId="77777777" w:rsidR="00424237" w:rsidRPr="00424237" w:rsidRDefault="00424237" w:rsidP="00424237">
      <w:r w:rsidRPr="00424237">
        <w:t xml:space="preserve">[68] A. Rehman, A. Al-Zabidi, M. Alkahtani, U. Umer, and Y. Usmani, “Assessment of supply chain agility to foster sustainability: fuzzy-DSS for a Saudi manufacturing organization,” </w:t>
      </w:r>
      <w:r w:rsidRPr="0090192B">
        <w:t>Processes</w:t>
      </w:r>
      <w:r w:rsidRPr="00424237">
        <w:t>, vol. 8, no. 5, 577, 2020.</w:t>
      </w:r>
    </w:p>
    <w:p w14:paraId="502C3446" w14:textId="22BA0D8E" w:rsidR="0011630A" w:rsidRDefault="0011630A" w:rsidP="0097267E"/>
    <w:sectPr w:rsidR="0011630A" w:rsidSect="00085B5F">
      <w:headerReference w:type="even" r:id="rId12"/>
      <w:headerReference w:type="default" r:id="rId13"/>
      <w:footerReference w:type="even" r:id="rId14"/>
      <w:footerReference w:type="default" r:id="rId15"/>
      <w:headerReference w:type="first" r:id="rId16"/>
      <w:type w:val="continuous"/>
      <w:pgSz w:w="11906" w:h="16838" w:code="9"/>
      <w:pgMar w:top="1440" w:right="1080" w:bottom="1530" w:left="1080" w:header="576" w:footer="576" w:gutter="0"/>
      <w:pgNumType w:start="1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72C9" w14:textId="77777777" w:rsidR="006C5B76" w:rsidRDefault="006C5B76" w:rsidP="000B0A0A">
      <w:r>
        <w:separator/>
      </w:r>
    </w:p>
  </w:endnote>
  <w:endnote w:type="continuationSeparator" w:id="0">
    <w:p w14:paraId="0686BFFB" w14:textId="77777777" w:rsidR="006C5B76" w:rsidRDefault="006C5B76" w:rsidP="000B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101848"/>
      <w:docPartObj>
        <w:docPartGallery w:val="Page Numbers (Bottom of Page)"/>
        <w:docPartUnique/>
      </w:docPartObj>
    </w:sdtPr>
    <w:sdtEndPr>
      <w:rPr>
        <w:noProof/>
      </w:rPr>
    </w:sdtEndPr>
    <w:sdtContent>
      <w:p w14:paraId="6508C82E" w14:textId="3FFA1DB7" w:rsidR="00017816" w:rsidRDefault="000178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A3616" w14:textId="77777777" w:rsidR="00C84F21" w:rsidRDefault="00C84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524951"/>
      <w:docPartObj>
        <w:docPartGallery w:val="Page Numbers (Bottom of Page)"/>
        <w:docPartUnique/>
      </w:docPartObj>
    </w:sdtPr>
    <w:sdtEndPr>
      <w:rPr>
        <w:noProof/>
      </w:rPr>
    </w:sdtEndPr>
    <w:sdtContent>
      <w:p w14:paraId="1E026D03" w14:textId="2DF1F3CF" w:rsidR="00E8319C" w:rsidRDefault="00E831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3478E" w14:textId="77777777" w:rsidR="003C63D4" w:rsidRDefault="003C6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C571" w14:textId="77777777" w:rsidR="006C5B76" w:rsidRDefault="006C5B76" w:rsidP="000B0A0A">
      <w:r>
        <w:separator/>
      </w:r>
    </w:p>
  </w:footnote>
  <w:footnote w:type="continuationSeparator" w:id="0">
    <w:p w14:paraId="03808645" w14:textId="77777777" w:rsidR="006C5B76" w:rsidRDefault="006C5B76" w:rsidP="000B0A0A">
      <w:r>
        <w:continuationSeparator/>
      </w:r>
    </w:p>
  </w:footnote>
  <w:footnote w:id="1">
    <w:p w14:paraId="361AAF93" w14:textId="5E8B8E62" w:rsidR="00DB1B71" w:rsidRPr="00D9308E" w:rsidRDefault="00DB1B71" w:rsidP="00DB1B71">
      <w:pPr>
        <w:rPr>
          <w:rFonts w:cstheme="majorBidi"/>
          <w:sz w:val="16"/>
          <w:szCs w:val="16"/>
        </w:rPr>
      </w:pPr>
      <w:r w:rsidRPr="0027434F">
        <w:rPr>
          <w:rStyle w:val="FootnoteReference"/>
          <w:color w:val="FFFFFF" w:themeColor="background1"/>
        </w:rPr>
        <w:footnoteRef/>
      </w:r>
      <w:r>
        <w:rPr>
          <w:rFonts w:cstheme="majorBidi"/>
          <w:sz w:val="16"/>
          <w:szCs w:val="16"/>
        </w:rPr>
        <w:t xml:space="preserve">Received </w:t>
      </w:r>
      <w:r w:rsidR="00E8319C">
        <w:rPr>
          <w:rFonts w:cstheme="majorBidi"/>
          <w:sz w:val="16"/>
          <w:szCs w:val="16"/>
        </w:rPr>
        <w:t>1</w:t>
      </w:r>
      <w:r w:rsidR="004D7A47">
        <w:rPr>
          <w:rFonts w:cstheme="majorBidi"/>
          <w:sz w:val="16"/>
          <w:szCs w:val="16"/>
        </w:rPr>
        <w:t>1</w:t>
      </w:r>
      <w:r>
        <w:rPr>
          <w:rFonts w:cstheme="majorBidi"/>
          <w:sz w:val="16"/>
          <w:szCs w:val="16"/>
        </w:rPr>
        <w:t xml:space="preserve"> </w:t>
      </w:r>
      <w:r w:rsidR="00E109F9">
        <w:rPr>
          <w:rFonts w:cstheme="majorBidi"/>
          <w:sz w:val="16"/>
          <w:szCs w:val="16"/>
        </w:rPr>
        <w:t>June</w:t>
      </w:r>
      <w:r>
        <w:rPr>
          <w:rFonts w:cstheme="majorBidi"/>
          <w:sz w:val="16"/>
          <w:szCs w:val="16"/>
        </w:rPr>
        <w:t xml:space="preserve"> 202</w:t>
      </w:r>
      <w:r w:rsidR="00A76148">
        <w:rPr>
          <w:rFonts w:cstheme="majorBidi"/>
          <w:sz w:val="16"/>
          <w:szCs w:val="16"/>
        </w:rPr>
        <w:t>5</w:t>
      </w:r>
      <w:r w:rsidRPr="00D9308E">
        <w:rPr>
          <w:rFonts w:cstheme="majorBidi"/>
          <w:sz w:val="16"/>
          <w:szCs w:val="16"/>
        </w:rPr>
        <w:t xml:space="preserve">; Accepted </w:t>
      </w:r>
      <w:r w:rsidR="00101762">
        <w:rPr>
          <w:rFonts w:cstheme="majorBidi"/>
          <w:sz w:val="16"/>
          <w:szCs w:val="16"/>
        </w:rPr>
        <w:t>27</w:t>
      </w:r>
      <w:r>
        <w:rPr>
          <w:rFonts w:cstheme="majorBidi"/>
          <w:sz w:val="16"/>
          <w:szCs w:val="16"/>
        </w:rPr>
        <w:t xml:space="preserve"> </w:t>
      </w:r>
      <w:r w:rsidR="004D7A47">
        <w:rPr>
          <w:rFonts w:cstheme="majorBidi"/>
          <w:sz w:val="16"/>
          <w:szCs w:val="16"/>
        </w:rPr>
        <w:t xml:space="preserve">Aug </w:t>
      </w:r>
      <w:r w:rsidRPr="00D9308E">
        <w:rPr>
          <w:rFonts w:cstheme="majorBidi"/>
          <w:sz w:val="16"/>
          <w:szCs w:val="16"/>
        </w:rPr>
        <w:t>202</w:t>
      </w:r>
      <w:r w:rsidR="00B905AC">
        <w:rPr>
          <w:rFonts w:cstheme="majorBidi"/>
          <w:sz w:val="16"/>
          <w:szCs w:val="16"/>
        </w:rPr>
        <w:t>5</w:t>
      </w:r>
      <w:r w:rsidRPr="00D9308E">
        <w:rPr>
          <w:rFonts w:cstheme="majorBidi"/>
          <w:sz w:val="16"/>
          <w:szCs w:val="16"/>
        </w:rPr>
        <w:t>; Published (online)</w:t>
      </w:r>
      <w:r>
        <w:rPr>
          <w:rFonts w:cstheme="majorBidi"/>
          <w:sz w:val="16"/>
          <w:szCs w:val="16"/>
        </w:rPr>
        <w:t xml:space="preserve"> </w:t>
      </w:r>
      <w:r w:rsidR="00101762">
        <w:rPr>
          <w:rFonts w:cstheme="majorBidi"/>
          <w:sz w:val="16"/>
          <w:szCs w:val="16"/>
        </w:rPr>
        <w:t>04</w:t>
      </w:r>
      <w:r>
        <w:rPr>
          <w:rFonts w:cstheme="majorBidi"/>
          <w:sz w:val="16"/>
          <w:szCs w:val="16"/>
        </w:rPr>
        <w:t xml:space="preserve"> </w:t>
      </w:r>
      <w:r w:rsidR="00101762">
        <w:rPr>
          <w:rFonts w:cstheme="majorBidi"/>
          <w:sz w:val="16"/>
          <w:szCs w:val="16"/>
        </w:rPr>
        <w:t xml:space="preserve"> Sep</w:t>
      </w:r>
      <w:r w:rsidRPr="00D9308E">
        <w:rPr>
          <w:rFonts w:cstheme="majorBidi"/>
          <w:sz w:val="16"/>
          <w:szCs w:val="16"/>
        </w:rPr>
        <w:t xml:space="preserve"> 202</w:t>
      </w:r>
      <w:r w:rsidR="00B905AC">
        <w:rPr>
          <w:rFonts w:cstheme="majorBidi"/>
          <w:sz w:val="16"/>
          <w:szCs w:val="16"/>
        </w:rPr>
        <w:t>5</w:t>
      </w:r>
    </w:p>
    <w:p w14:paraId="38CE6A5A" w14:textId="5B10A93B" w:rsidR="00DB1B71" w:rsidRPr="00D9308E" w:rsidRDefault="00DB1B71" w:rsidP="00DB1B71">
      <w:pPr>
        <w:rPr>
          <w:rFonts w:cstheme="majorBidi"/>
          <w:sz w:val="16"/>
          <w:szCs w:val="16"/>
        </w:rPr>
      </w:pPr>
      <w:r w:rsidRPr="00D9308E">
        <w:rPr>
          <w:rFonts w:cstheme="majorBidi"/>
          <w:sz w:val="16"/>
          <w:szCs w:val="16"/>
        </w:rPr>
        <w:t xml:space="preserve">Finesse Publishing stays neutral </w:t>
      </w:r>
      <w:r>
        <w:rPr>
          <w:rFonts w:cstheme="majorBidi"/>
          <w:sz w:val="16"/>
          <w:szCs w:val="16"/>
        </w:rPr>
        <w:t>concerning</w:t>
      </w:r>
      <w:r w:rsidRPr="00D9308E">
        <w:rPr>
          <w:rFonts w:cstheme="majorBidi"/>
          <w:sz w:val="16"/>
          <w:szCs w:val="16"/>
        </w:rPr>
        <w:t xml:space="preserve"> jurisdictional claims published </w:t>
      </w:r>
      <w:r w:rsidR="00A15850">
        <w:rPr>
          <w:rFonts w:cstheme="majorBidi"/>
          <w:sz w:val="16"/>
          <w:szCs w:val="16"/>
        </w:rPr>
        <w:t xml:space="preserve">on </w:t>
      </w:r>
      <w:r w:rsidRPr="00D9308E">
        <w:rPr>
          <w:rFonts w:cstheme="majorBidi"/>
          <w:sz w:val="16"/>
          <w:szCs w:val="16"/>
        </w:rPr>
        <w:t>maps</w:t>
      </w:r>
    </w:p>
    <w:p w14:paraId="61D2D144" w14:textId="77777777" w:rsidR="00DB1B71" w:rsidRDefault="00DB1B71" w:rsidP="00DB1B71">
      <w:pPr>
        <w:pStyle w:val="Footer"/>
        <w:rPr>
          <w:rFonts w:cstheme="majorBidi"/>
          <w:sz w:val="16"/>
          <w:szCs w:val="16"/>
        </w:rPr>
      </w:pPr>
      <w:r w:rsidRPr="00D9308E">
        <w:rPr>
          <w:rFonts w:cstheme="majorBidi"/>
          <w:noProof/>
          <w:sz w:val="16"/>
          <w:szCs w:val="16"/>
        </w:rPr>
        <w:drawing>
          <wp:inline distT="0" distB="0" distL="0" distR="0" wp14:anchorId="1D771A9C" wp14:editId="7D449AC0">
            <wp:extent cx="492369" cy="17268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013" cy="177820"/>
                    </a:xfrm>
                    <a:prstGeom prst="rect">
                      <a:avLst/>
                    </a:prstGeom>
                    <a:noFill/>
                    <a:ln>
                      <a:noFill/>
                    </a:ln>
                  </pic:spPr>
                </pic:pic>
              </a:graphicData>
            </a:graphic>
          </wp:inline>
        </w:drawing>
      </w:r>
      <w:r w:rsidRPr="00D9308E">
        <w:rPr>
          <w:rFonts w:cstheme="majorBidi"/>
          <w:sz w:val="16"/>
          <w:szCs w:val="16"/>
        </w:rPr>
        <w:t xml:space="preserve"> Attribution 4.0 International (CC BY 4.0)</w:t>
      </w:r>
    </w:p>
    <w:p w14:paraId="6FB2FDFC" w14:textId="533984EA" w:rsidR="00DB1B71" w:rsidRDefault="00DB1B71" w:rsidP="00DB1B71">
      <w:pPr>
        <w:pStyle w:val="Footer"/>
        <w:rPr>
          <w:rFonts w:cstheme="majorBidi"/>
          <w:sz w:val="16"/>
          <w:szCs w:val="16"/>
        </w:rPr>
      </w:pPr>
      <w:r w:rsidRPr="006E4D29">
        <w:rPr>
          <w:rFonts w:cstheme="majorBidi"/>
          <w:sz w:val="16"/>
          <w:szCs w:val="16"/>
        </w:rPr>
        <w:t xml:space="preserve">Corresponding email: </w:t>
      </w:r>
      <w:hyperlink r:id="rId2" w:history="1">
        <w:r w:rsidR="004D7A47" w:rsidRPr="004D7A47">
          <w:rPr>
            <w:rStyle w:val="Hyperlink"/>
            <w:sz w:val="18"/>
            <w:szCs w:val="18"/>
          </w:rPr>
          <w:t>anikhassanrabby@bup.edu.bd</w:t>
        </w:r>
      </w:hyperlink>
      <w:r w:rsidR="004D7A47">
        <w:t xml:space="preserve"> </w:t>
      </w:r>
      <w:r w:rsidR="004D7A47" w:rsidRPr="004D7A47">
        <w:t xml:space="preserve"> </w:t>
      </w:r>
      <w:r w:rsidR="004D7A47" w:rsidRPr="004D7A47">
        <w:rPr>
          <w:sz w:val="18"/>
          <w:szCs w:val="18"/>
        </w:rPr>
        <w:t>(S. K. Md Anik Hassan Rabby)</w:t>
      </w:r>
    </w:p>
    <w:p w14:paraId="40C6960C" w14:textId="4ABDA55B" w:rsidR="00DB1B71" w:rsidRDefault="00DB1B71" w:rsidP="00DB1B71">
      <w:r>
        <w:rPr>
          <w:rFonts w:cstheme="majorBidi"/>
          <w:sz w:val="16"/>
          <w:szCs w:val="16"/>
        </w:rPr>
        <w:t xml:space="preserve">DOI: </w:t>
      </w:r>
      <w:r w:rsidR="00E54B77" w:rsidRPr="00E54B77">
        <w:rPr>
          <w:rFonts w:cstheme="majorBidi"/>
          <w:sz w:val="16"/>
          <w:szCs w:val="16"/>
        </w:rPr>
        <w:t>10.61363/v49mn947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B59A" w14:textId="77777777" w:rsidR="00E8319C" w:rsidRDefault="00E8319C" w:rsidP="00E8319C">
    <w:pPr>
      <w:pStyle w:val="Header"/>
    </w:pPr>
    <w:r>
      <w:rPr>
        <w:noProof/>
      </w:rPr>
      <w:drawing>
        <wp:anchor distT="0" distB="0" distL="114300" distR="114300" simplePos="0" relativeHeight="251672576" behindDoc="1" locked="0" layoutInCell="1" allowOverlap="1" wp14:anchorId="7FA49AFE" wp14:editId="68DAEF71">
          <wp:simplePos x="0" y="0"/>
          <wp:positionH relativeFrom="column">
            <wp:posOffset>199585</wp:posOffset>
          </wp:positionH>
          <wp:positionV relativeFrom="page">
            <wp:posOffset>372208</wp:posOffset>
          </wp:positionV>
          <wp:extent cx="775970" cy="711200"/>
          <wp:effectExtent l="0" t="0" r="5080" b="0"/>
          <wp:wrapNone/>
          <wp:docPr id="537434118" name="Picture 5374341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711200"/>
                  </a:xfrm>
                  <a:prstGeom prst="rect">
                    <a:avLst/>
                  </a:prstGeom>
                  <a:noFill/>
                  <a:ln>
                    <a:noFill/>
                  </a:ln>
                </pic:spPr>
              </pic:pic>
            </a:graphicData>
          </a:graphic>
        </wp:anchor>
      </w:drawing>
    </w:r>
    <w:r>
      <w:rPr>
        <w:i/>
      </w:rPr>
      <w:tab/>
    </w:r>
  </w:p>
  <w:p w14:paraId="18C3B41B" w14:textId="77777777" w:rsidR="00E8319C" w:rsidRDefault="00E8319C" w:rsidP="00E8319C">
    <w:pPr>
      <w:tabs>
        <w:tab w:val="left" w:pos="240"/>
        <w:tab w:val="right" w:pos="9746"/>
      </w:tabs>
      <w:jc w:val="left"/>
    </w:pPr>
    <w:r>
      <w:tab/>
    </w:r>
    <w:r>
      <w:tab/>
      <w:t>Journal of Social Sciences and Economics</w:t>
    </w:r>
  </w:p>
  <w:p w14:paraId="26E13D83" w14:textId="496E7ACC" w:rsidR="00E8319C" w:rsidRDefault="00E8319C" w:rsidP="00E8319C">
    <w:pPr>
      <w:tabs>
        <w:tab w:val="left" w:pos="1690"/>
        <w:tab w:val="right" w:pos="9746"/>
      </w:tabs>
      <w:jc w:val="left"/>
    </w:pPr>
    <w:r>
      <w:tab/>
    </w:r>
    <w:r>
      <w:tab/>
      <w:t>Vol. 4(</w:t>
    </w:r>
    <w:r w:rsidR="00285E59">
      <w:t>2</w:t>
    </w:r>
    <w:r>
      <w:t xml:space="preserve">), 2025, </w:t>
    </w:r>
    <w:r w:rsidR="00285E59">
      <w:t>1</w:t>
    </w:r>
    <w:r w:rsidR="00085B5F">
      <w:t>72</w:t>
    </w:r>
    <w:r>
      <w:t>-</w:t>
    </w:r>
    <w:r w:rsidR="00285E59">
      <w:t>1</w:t>
    </w:r>
    <w:r w:rsidR="00085B5F">
      <w:t>92</w:t>
    </w:r>
  </w:p>
  <w:p w14:paraId="2A018BEE" w14:textId="77777777" w:rsidR="00E8319C" w:rsidRDefault="00E8319C" w:rsidP="00E8319C">
    <w:pPr>
      <w:tabs>
        <w:tab w:val="left" w:pos="5740"/>
        <w:tab w:val="right" w:pos="9746"/>
      </w:tabs>
      <w:jc w:val="left"/>
    </w:pPr>
    <w:r>
      <w:tab/>
    </w:r>
    <w:r>
      <w:tab/>
      <w:t>ISSN (Online) 2958-1532</w:t>
    </w:r>
  </w:p>
  <w:p w14:paraId="1861EBED" w14:textId="77777777" w:rsidR="00E8319C" w:rsidRPr="00DE7597" w:rsidRDefault="00E8319C" w:rsidP="00E8319C">
    <w:pPr>
      <w:pBdr>
        <w:bottom w:val="single" w:sz="8" w:space="1" w:color="auto"/>
      </w:pBdr>
      <w:jc w:val="right"/>
    </w:pPr>
    <w:r w:rsidRPr="00BD1AD4">
      <w:t>https://finessepublishing.com/jsse</w:t>
    </w:r>
  </w:p>
  <w:p w14:paraId="03171968" w14:textId="497910A7" w:rsidR="00EE70FD" w:rsidRPr="00E8319C" w:rsidRDefault="00EE70FD" w:rsidP="00E83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534C" w14:textId="4570E139" w:rsidR="00C84F21" w:rsidRPr="00E8319C" w:rsidRDefault="004D7A47" w:rsidP="00E8319C">
    <w:pPr>
      <w:pBdr>
        <w:bottom w:val="single" w:sz="8" w:space="1" w:color="auto"/>
      </w:pBdr>
      <w:jc w:val="left"/>
      <w:rPr>
        <w:i/>
        <w:iCs/>
      </w:rPr>
    </w:pPr>
    <w:r w:rsidRPr="004D7A47">
      <w:rPr>
        <w:i/>
        <w:iCs/>
        <w:noProof/>
      </w:rPr>
      <w:t xml:space="preserve">AI-Driven Supply Chain Integration and Environmental Sustainability in the RMG Sector: Exploring the Mediating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618337"/>
      <w:docPartObj>
        <w:docPartGallery w:val="Page Numbers (Top of Page)"/>
        <w:docPartUnique/>
      </w:docPartObj>
    </w:sdtPr>
    <w:sdtEndPr>
      <w:rPr>
        <w:noProof/>
      </w:rPr>
    </w:sdtEndPr>
    <w:sdtContent>
      <w:p w14:paraId="5071B9CA" w14:textId="05ACC950" w:rsidR="000B0A0A" w:rsidRDefault="000B0A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3C8E5A" w14:textId="77777777" w:rsidR="000B0A0A" w:rsidRDefault="000B0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60"/>
    <w:multiLevelType w:val="hybridMultilevel"/>
    <w:tmpl w:val="30069C82"/>
    <w:lvl w:ilvl="0" w:tplc="B4FCBD70">
      <w:start w:val="1"/>
      <w:numFmt w:val="lowerLetter"/>
      <w:lvlText w:val="%1."/>
      <w:lvlJc w:val="left"/>
      <w:pPr>
        <w:ind w:left="770" w:hanging="360"/>
      </w:pPr>
      <w:rPr>
        <w:rFonts w:hint="default"/>
        <w:b/>
        <w:bCs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F6D6E4C"/>
    <w:multiLevelType w:val="hybridMultilevel"/>
    <w:tmpl w:val="81C4C2CA"/>
    <w:lvl w:ilvl="0" w:tplc="3FF85EB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43CDD"/>
    <w:multiLevelType w:val="hybridMultilevel"/>
    <w:tmpl w:val="39887A26"/>
    <w:lvl w:ilvl="0" w:tplc="5A7479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035EB"/>
    <w:multiLevelType w:val="hybridMultilevel"/>
    <w:tmpl w:val="F12CDF26"/>
    <w:lvl w:ilvl="0" w:tplc="905ECFCA">
      <w:start w:val="1"/>
      <w:numFmt w:val="upperRoman"/>
      <w:lvlText w:val="%1."/>
      <w:lvlJc w:val="left"/>
      <w:pPr>
        <w:ind w:left="920" w:hanging="7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D793B"/>
    <w:multiLevelType w:val="hybridMultilevel"/>
    <w:tmpl w:val="568A7B10"/>
    <w:lvl w:ilvl="0" w:tplc="53E258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67E4"/>
    <w:multiLevelType w:val="hybridMultilevel"/>
    <w:tmpl w:val="5C244E50"/>
    <w:lvl w:ilvl="0" w:tplc="FB26A2AE">
      <w:start w:val="1"/>
      <w:numFmt w:val="lowerLetter"/>
      <w:lvlText w:val="%1."/>
      <w:lvlJc w:val="left"/>
      <w:pPr>
        <w:ind w:left="410" w:hanging="360"/>
      </w:pPr>
      <w:rPr>
        <w:rFonts w:hint="default"/>
        <w:b/>
        <w:sz w:val="2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1F2F1577"/>
    <w:multiLevelType w:val="multilevel"/>
    <w:tmpl w:val="5658E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0F715C"/>
    <w:multiLevelType w:val="hybridMultilevel"/>
    <w:tmpl w:val="7D9C4168"/>
    <w:lvl w:ilvl="0" w:tplc="2DB4CED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707A41"/>
    <w:multiLevelType w:val="hybridMultilevel"/>
    <w:tmpl w:val="FF8094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70661BE"/>
    <w:multiLevelType w:val="hybridMultilevel"/>
    <w:tmpl w:val="FD241254"/>
    <w:lvl w:ilvl="0" w:tplc="E4A67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264DC2"/>
    <w:multiLevelType w:val="hybridMultilevel"/>
    <w:tmpl w:val="88DE231E"/>
    <w:lvl w:ilvl="0" w:tplc="752EC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F3C17"/>
    <w:multiLevelType w:val="multilevel"/>
    <w:tmpl w:val="9C9A568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E5901F6"/>
    <w:multiLevelType w:val="hybridMultilevel"/>
    <w:tmpl w:val="AEC68A78"/>
    <w:lvl w:ilvl="0" w:tplc="F88E0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37633">
    <w:abstractNumId w:val="12"/>
  </w:num>
  <w:num w:numId="2" w16cid:durableId="866410295">
    <w:abstractNumId w:val="2"/>
  </w:num>
  <w:num w:numId="3" w16cid:durableId="239413249">
    <w:abstractNumId w:val="12"/>
  </w:num>
  <w:num w:numId="4" w16cid:durableId="1448036978">
    <w:abstractNumId w:val="12"/>
  </w:num>
  <w:num w:numId="5" w16cid:durableId="1814176694">
    <w:abstractNumId w:val="12"/>
  </w:num>
  <w:num w:numId="6" w16cid:durableId="757289393">
    <w:abstractNumId w:val="12"/>
  </w:num>
  <w:num w:numId="7" w16cid:durableId="1994016792">
    <w:abstractNumId w:val="12"/>
  </w:num>
  <w:num w:numId="8" w16cid:durableId="1139306610">
    <w:abstractNumId w:val="13"/>
  </w:num>
  <w:num w:numId="9" w16cid:durableId="2014183869">
    <w:abstractNumId w:val="3"/>
  </w:num>
  <w:num w:numId="10" w16cid:durableId="843395338">
    <w:abstractNumId w:val="6"/>
  </w:num>
  <w:num w:numId="11" w16cid:durableId="8794270">
    <w:abstractNumId w:val="12"/>
  </w:num>
  <w:num w:numId="12" w16cid:durableId="1877966572">
    <w:abstractNumId w:val="10"/>
  </w:num>
  <w:num w:numId="13" w16cid:durableId="1915234134">
    <w:abstractNumId w:val="4"/>
  </w:num>
  <w:num w:numId="14" w16cid:durableId="310141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030753">
    <w:abstractNumId w:val="0"/>
  </w:num>
  <w:num w:numId="16" w16cid:durableId="1941526738">
    <w:abstractNumId w:val="7"/>
  </w:num>
  <w:num w:numId="17" w16cid:durableId="684481289">
    <w:abstractNumId w:val="1"/>
  </w:num>
  <w:num w:numId="18" w16cid:durableId="1196891909">
    <w:abstractNumId w:val="5"/>
  </w:num>
  <w:num w:numId="19" w16cid:durableId="1336569732">
    <w:abstractNumId w:val="8"/>
  </w:num>
  <w:num w:numId="20" w16cid:durableId="1580362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MDA0tjAyMjQ1NzZU0lEKTi0uzszPAymwrAUAvDc+hSwAAAA="/>
  </w:docVars>
  <w:rsids>
    <w:rsidRoot w:val="00E718FE"/>
    <w:rsid w:val="00001D60"/>
    <w:rsid w:val="000148F5"/>
    <w:rsid w:val="0001681D"/>
    <w:rsid w:val="00017816"/>
    <w:rsid w:val="00027012"/>
    <w:rsid w:val="000356B3"/>
    <w:rsid w:val="00041BF6"/>
    <w:rsid w:val="00042269"/>
    <w:rsid w:val="0005730B"/>
    <w:rsid w:val="000605E2"/>
    <w:rsid w:val="00076454"/>
    <w:rsid w:val="00081603"/>
    <w:rsid w:val="000849BA"/>
    <w:rsid w:val="00085B5F"/>
    <w:rsid w:val="000941BB"/>
    <w:rsid w:val="000A5999"/>
    <w:rsid w:val="000B0A0A"/>
    <w:rsid w:val="000C2FE0"/>
    <w:rsid w:val="000C3C24"/>
    <w:rsid w:val="000D3036"/>
    <w:rsid w:val="000F7AC0"/>
    <w:rsid w:val="00101762"/>
    <w:rsid w:val="00104A8A"/>
    <w:rsid w:val="00110764"/>
    <w:rsid w:val="0011630A"/>
    <w:rsid w:val="00130C77"/>
    <w:rsid w:val="001342BB"/>
    <w:rsid w:val="00154E03"/>
    <w:rsid w:val="0017305F"/>
    <w:rsid w:val="00182217"/>
    <w:rsid w:val="0018694E"/>
    <w:rsid w:val="001933FE"/>
    <w:rsid w:val="00195957"/>
    <w:rsid w:val="001A72E6"/>
    <w:rsid w:val="001B268E"/>
    <w:rsid w:val="001B5CB0"/>
    <w:rsid w:val="001C03F4"/>
    <w:rsid w:val="001C6B02"/>
    <w:rsid w:val="001D222F"/>
    <w:rsid w:val="001E54C5"/>
    <w:rsid w:val="00201225"/>
    <w:rsid w:val="00202557"/>
    <w:rsid w:val="0020599E"/>
    <w:rsid w:val="00215CC8"/>
    <w:rsid w:val="002306C1"/>
    <w:rsid w:val="00235A5C"/>
    <w:rsid w:val="00254226"/>
    <w:rsid w:val="00272F24"/>
    <w:rsid w:val="00285E59"/>
    <w:rsid w:val="00291457"/>
    <w:rsid w:val="00294FF7"/>
    <w:rsid w:val="002B0E57"/>
    <w:rsid w:val="002B59D2"/>
    <w:rsid w:val="002C4BE6"/>
    <w:rsid w:val="002E1F34"/>
    <w:rsid w:val="002F71B9"/>
    <w:rsid w:val="003025F6"/>
    <w:rsid w:val="00311201"/>
    <w:rsid w:val="00342DD7"/>
    <w:rsid w:val="003550B2"/>
    <w:rsid w:val="00361997"/>
    <w:rsid w:val="0036280F"/>
    <w:rsid w:val="00375F82"/>
    <w:rsid w:val="003A4003"/>
    <w:rsid w:val="003A72F3"/>
    <w:rsid w:val="003B1835"/>
    <w:rsid w:val="003B4836"/>
    <w:rsid w:val="003C63D4"/>
    <w:rsid w:val="003E5379"/>
    <w:rsid w:val="003E7D63"/>
    <w:rsid w:val="003F7263"/>
    <w:rsid w:val="0040375E"/>
    <w:rsid w:val="004055BD"/>
    <w:rsid w:val="00424237"/>
    <w:rsid w:val="00427848"/>
    <w:rsid w:val="0043030A"/>
    <w:rsid w:val="00446A54"/>
    <w:rsid w:val="00457862"/>
    <w:rsid w:val="00465470"/>
    <w:rsid w:val="00480F32"/>
    <w:rsid w:val="00484A66"/>
    <w:rsid w:val="00485CDD"/>
    <w:rsid w:val="004A775F"/>
    <w:rsid w:val="004B04D3"/>
    <w:rsid w:val="004B2992"/>
    <w:rsid w:val="004B3681"/>
    <w:rsid w:val="004C14F6"/>
    <w:rsid w:val="004D7A47"/>
    <w:rsid w:val="004E6253"/>
    <w:rsid w:val="004F1F25"/>
    <w:rsid w:val="004F3DE8"/>
    <w:rsid w:val="004F4E93"/>
    <w:rsid w:val="004F5E29"/>
    <w:rsid w:val="0050109A"/>
    <w:rsid w:val="005015E5"/>
    <w:rsid w:val="005045D6"/>
    <w:rsid w:val="0050640C"/>
    <w:rsid w:val="00534221"/>
    <w:rsid w:val="0054742C"/>
    <w:rsid w:val="00551F25"/>
    <w:rsid w:val="005559D5"/>
    <w:rsid w:val="00565C56"/>
    <w:rsid w:val="00566036"/>
    <w:rsid w:val="005719CA"/>
    <w:rsid w:val="00592FBD"/>
    <w:rsid w:val="005A5099"/>
    <w:rsid w:val="005C4BF9"/>
    <w:rsid w:val="005C712E"/>
    <w:rsid w:val="005D0820"/>
    <w:rsid w:val="005F033E"/>
    <w:rsid w:val="005F22AA"/>
    <w:rsid w:val="00603034"/>
    <w:rsid w:val="00615C2C"/>
    <w:rsid w:val="006209A2"/>
    <w:rsid w:val="006270E4"/>
    <w:rsid w:val="0063722D"/>
    <w:rsid w:val="00641B5E"/>
    <w:rsid w:val="00646C43"/>
    <w:rsid w:val="006476CD"/>
    <w:rsid w:val="006C05DD"/>
    <w:rsid w:val="006C5B76"/>
    <w:rsid w:val="006D1922"/>
    <w:rsid w:val="006E4D29"/>
    <w:rsid w:val="006F4040"/>
    <w:rsid w:val="006F4129"/>
    <w:rsid w:val="006F5F59"/>
    <w:rsid w:val="007117FF"/>
    <w:rsid w:val="0072042D"/>
    <w:rsid w:val="007211A5"/>
    <w:rsid w:val="00732110"/>
    <w:rsid w:val="00740994"/>
    <w:rsid w:val="00740EFF"/>
    <w:rsid w:val="007654B3"/>
    <w:rsid w:val="007660F4"/>
    <w:rsid w:val="0076689A"/>
    <w:rsid w:val="00770BA0"/>
    <w:rsid w:val="00776491"/>
    <w:rsid w:val="00790B43"/>
    <w:rsid w:val="00790C15"/>
    <w:rsid w:val="00790F02"/>
    <w:rsid w:val="007955A0"/>
    <w:rsid w:val="007956C6"/>
    <w:rsid w:val="0079715D"/>
    <w:rsid w:val="007A6073"/>
    <w:rsid w:val="007C4588"/>
    <w:rsid w:val="007C5CB6"/>
    <w:rsid w:val="007E4A99"/>
    <w:rsid w:val="007E53D2"/>
    <w:rsid w:val="007F3BA3"/>
    <w:rsid w:val="0081049C"/>
    <w:rsid w:val="00811CA8"/>
    <w:rsid w:val="0081487A"/>
    <w:rsid w:val="0081750D"/>
    <w:rsid w:val="00832C3F"/>
    <w:rsid w:val="00833C80"/>
    <w:rsid w:val="00837A35"/>
    <w:rsid w:val="00840220"/>
    <w:rsid w:val="0084103F"/>
    <w:rsid w:val="00853E9F"/>
    <w:rsid w:val="0085410B"/>
    <w:rsid w:val="00856768"/>
    <w:rsid w:val="008568CF"/>
    <w:rsid w:val="00862E93"/>
    <w:rsid w:val="008951F3"/>
    <w:rsid w:val="00895C54"/>
    <w:rsid w:val="00897A89"/>
    <w:rsid w:val="008A56F0"/>
    <w:rsid w:val="008B2093"/>
    <w:rsid w:val="008B27AA"/>
    <w:rsid w:val="008C3835"/>
    <w:rsid w:val="008C632A"/>
    <w:rsid w:val="008D5974"/>
    <w:rsid w:val="008E705D"/>
    <w:rsid w:val="008F086D"/>
    <w:rsid w:val="008F3199"/>
    <w:rsid w:val="008F62D4"/>
    <w:rsid w:val="0090192B"/>
    <w:rsid w:val="00926E6E"/>
    <w:rsid w:val="009271EB"/>
    <w:rsid w:val="00933708"/>
    <w:rsid w:val="0094348E"/>
    <w:rsid w:val="00943B45"/>
    <w:rsid w:val="00943E21"/>
    <w:rsid w:val="00970C09"/>
    <w:rsid w:val="0097267E"/>
    <w:rsid w:val="00977036"/>
    <w:rsid w:val="0098096A"/>
    <w:rsid w:val="009B6A63"/>
    <w:rsid w:val="009C03B4"/>
    <w:rsid w:val="009E6636"/>
    <w:rsid w:val="009F3762"/>
    <w:rsid w:val="00A0106A"/>
    <w:rsid w:val="00A054E9"/>
    <w:rsid w:val="00A15850"/>
    <w:rsid w:val="00A32B07"/>
    <w:rsid w:val="00A47C67"/>
    <w:rsid w:val="00A52910"/>
    <w:rsid w:val="00A52C9C"/>
    <w:rsid w:val="00A551DA"/>
    <w:rsid w:val="00A62471"/>
    <w:rsid w:val="00A63A65"/>
    <w:rsid w:val="00A76148"/>
    <w:rsid w:val="00A816B6"/>
    <w:rsid w:val="00A827BA"/>
    <w:rsid w:val="00A96D0C"/>
    <w:rsid w:val="00A97555"/>
    <w:rsid w:val="00AA520A"/>
    <w:rsid w:val="00AB75AC"/>
    <w:rsid w:val="00AE2790"/>
    <w:rsid w:val="00B028F3"/>
    <w:rsid w:val="00B04968"/>
    <w:rsid w:val="00B05364"/>
    <w:rsid w:val="00B071D6"/>
    <w:rsid w:val="00B10186"/>
    <w:rsid w:val="00B1149C"/>
    <w:rsid w:val="00B31318"/>
    <w:rsid w:val="00B33583"/>
    <w:rsid w:val="00B407DA"/>
    <w:rsid w:val="00B46BA6"/>
    <w:rsid w:val="00B642B9"/>
    <w:rsid w:val="00B677A7"/>
    <w:rsid w:val="00B905AC"/>
    <w:rsid w:val="00B964AC"/>
    <w:rsid w:val="00B97CF3"/>
    <w:rsid w:val="00BB0199"/>
    <w:rsid w:val="00BB3C00"/>
    <w:rsid w:val="00BC602C"/>
    <w:rsid w:val="00BE0633"/>
    <w:rsid w:val="00BF4B61"/>
    <w:rsid w:val="00BF57C7"/>
    <w:rsid w:val="00BF5963"/>
    <w:rsid w:val="00C037E6"/>
    <w:rsid w:val="00C27006"/>
    <w:rsid w:val="00C270D6"/>
    <w:rsid w:val="00C31E7F"/>
    <w:rsid w:val="00C47B2A"/>
    <w:rsid w:val="00C47BD1"/>
    <w:rsid w:val="00C84F21"/>
    <w:rsid w:val="00CC01FB"/>
    <w:rsid w:val="00CD2A23"/>
    <w:rsid w:val="00CE2102"/>
    <w:rsid w:val="00CF073C"/>
    <w:rsid w:val="00D0088F"/>
    <w:rsid w:val="00D05D45"/>
    <w:rsid w:val="00D14616"/>
    <w:rsid w:val="00D17B53"/>
    <w:rsid w:val="00D54611"/>
    <w:rsid w:val="00D57403"/>
    <w:rsid w:val="00D61515"/>
    <w:rsid w:val="00D66720"/>
    <w:rsid w:val="00D86992"/>
    <w:rsid w:val="00D91E51"/>
    <w:rsid w:val="00D9273E"/>
    <w:rsid w:val="00D97475"/>
    <w:rsid w:val="00D97ADC"/>
    <w:rsid w:val="00DA3D61"/>
    <w:rsid w:val="00DB1B71"/>
    <w:rsid w:val="00DC2556"/>
    <w:rsid w:val="00DC780B"/>
    <w:rsid w:val="00DD59C7"/>
    <w:rsid w:val="00DE7597"/>
    <w:rsid w:val="00DF59DF"/>
    <w:rsid w:val="00DF6C32"/>
    <w:rsid w:val="00DF726B"/>
    <w:rsid w:val="00E109F9"/>
    <w:rsid w:val="00E54A5D"/>
    <w:rsid w:val="00E54B77"/>
    <w:rsid w:val="00E63813"/>
    <w:rsid w:val="00E65E80"/>
    <w:rsid w:val="00E718FE"/>
    <w:rsid w:val="00E82430"/>
    <w:rsid w:val="00E8319C"/>
    <w:rsid w:val="00E97B98"/>
    <w:rsid w:val="00EC7482"/>
    <w:rsid w:val="00EE0FB8"/>
    <w:rsid w:val="00EE70FD"/>
    <w:rsid w:val="00F002B4"/>
    <w:rsid w:val="00F036D0"/>
    <w:rsid w:val="00F14A42"/>
    <w:rsid w:val="00F154DC"/>
    <w:rsid w:val="00F25364"/>
    <w:rsid w:val="00F334CF"/>
    <w:rsid w:val="00F65E93"/>
    <w:rsid w:val="00F756C2"/>
    <w:rsid w:val="00F864AF"/>
    <w:rsid w:val="00FA0F66"/>
    <w:rsid w:val="00FA753E"/>
    <w:rsid w:val="00FC0091"/>
    <w:rsid w:val="00FC509E"/>
    <w:rsid w:val="00FD481A"/>
    <w:rsid w:val="00FD717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EA998"/>
  <w15:docId w15:val="{98CDFD60-5BF4-4FE9-AB3B-B8CBD41D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EastAsia" w:hAnsi="Book Antiqua" w:cstheme="minorBidi"/>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D2"/>
    <w:pPr>
      <w:jc w:val="both"/>
    </w:pPr>
  </w:style>
  <w:style w:type="paragraph" w:styleId="Heading1">
    <w:name w:val="heading 1"/>
    <w:basedOn w:val="ListParagraph"/>
    <w:next w:val="Normal"/>
    <w:link w:val="Heading1Char"/>
    <w:uiPriority w:val="9"/>
    <w:qFormat/>
    <w:rsid w:val="00104A8A"/>
    <w:pPr>
      <w:numPr>
        <w:numId w:val="1"/>
      </w:numPr>
      <w:outlineLvl w:val="0"/>
    </w:pPr>
    <w:rPr>
      <w:b/>
      <w:bCs/>
      <w:color w:val="C45911" w:themeColor="accent2" w:themeShade="BF"/>
    </w:rPr>
  </w:style>
  <w:style w:type="paragraph" w:styleId="Heading2">
    <w:name w:val="heading 2"/>
    <w:basedOn w:val="Heading1"/>
    <w:next w:val="Normal"/>
    <w:link w:val="Heading2Char"/>
    <w:uiPriority w:val="9"/>
    <w:unhideWhenUsed/>
    <w:qFormat/>
    <w:rsid w:val="00104A8A"/>
    <w:pPr>
      <w:numPr>
        <w:ilvl w:val="1"/>
      </w:numPr>
      <w:outlineLvl w:val="1"/>
    </w:pPr>
    <w:rPr>
      <w:i/>
      <w:iCs/>
    </w:rPr>
  </w:style>
  <w:style w:type="paragraph" w:styleId="Heading3">
    <w:name w:val="heading 3"/>
    <w:basedOn w:val="Heading1"/>
    <w:next w:val="Normal"/>
    <w:link w:val="Heading3Char"/>
    <w:uiPriority w:val="9"/>
    <w:unhideWhenUsed/>
    <w:qFormat/>
    <w:rsid w:val="00104A8A"/>
    <w:pPr>
      <w:numPr>
        <w:ilvl w:val="2"/>
      </w:numPr>
      <w:outlineLvl w:val="2"/>
    </w:pPr>
    <w:rPr>
      <w:b w:val="0"/>
      <w:bCs w:val="0"/>
    </w:rPr>
  </w:style>
  <w:style w:type="paragraph" w:styleId="Heading4">
    <w:name w:val="heading 4"/>
    <w:basedOn w:val="Heading1"/>
    <w:next w:val="Normal"/>
    <w:link w:val="Heading4Char"/>
    <w:uiPriority w:val="9"/>
    <w:unhideWhenUsed/>
    <w:qFormat/>
    <w:rsid w:val="002B59D2"/>
    <w:pPr>
      <w:numPr>
        <w:numId w:val="0"/>
      </w:numPr>
      <w:ind w:left="360" w:hanging="360"/>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A8A"/>
    <w:rPr>
      <w:b/>
      <w:bCs/>
      <w:color w:val="C45911" w:themeColor="accent2" w:themeShade="BF"/>
    </w:rPr>
  </w:style>
  <w:style w:type="character" w:customStyle="1" w:styleId="Heading2Char">
    <w:name w:val="Heading 2 Char"/>
    <w:basedOn w:val="DefaultParagraphFont"/>
    <w:link w:val="Heading2"/>
    <w:uiPriority w:val="9"/>
    <w:rsid w:val="00104A8A"/>
    <w:rPr>
      <w:b/>
      <w:bCs/>
      <w:i/>
      <w:iCs/>
      <w:color w:val="C45911" w:themeColor="accent2" w:themeShade="BF"/>
    </w:rPr>
  </w:style>
  <w:style w:type="character" w:customStyle="1" w:styleId="Heading3Char">
    <w:name w:val="Heading 3 Char"/>
    <w:basedOn w:val="DefaultParagraphFont"/>
    <w:link w:val="Heading3"/>
    <w:uiPriority w:val="9"/>
    <w:rsid w:val="00104A8A"/>
    <w:rPr>
      <w:color w:val="C45911" w:themeColor="accent2" w:themeShade="BF"/>
    </w:rPr>
  </w:style>
  <w:style w:type="character" w:customStyle="1" w:styleId="Heading4Char">
    <w:name w:val="Heading 4 Char"/>
    <w:basedOn w:val="DefaultParagraphFont"/>
    <w:link w:val="Heading4"/>
    <w:uiPriority w:val="9"/>
    <w:rsid w:val="002B59D2"/>
    <w:rPr>
      <w:i/>
      <w:iCs/>
      <w:color w:val="C45911" w:themeColor="accent2" w:themeShade="BF"/>
    </w:rPr>
  </w:style>
  <w:style w:type="character" w:styleId="Hyperlink">
    <w:name w:val="Hyperlink"/>
    <w:basedOn w:val="DefaultParagraphFont"/>
    <w:uiPriority w:val="99"/>
    <w:unhideWhenUsed/>
    <w:rsid w:val="0020599E"/>
    <w:rPr>
      <w:color w:val="0563C1" w:themeColor="hyperlink"/>
      <w:u w:val="single"/>
    </w:rPr>
  </w:style>
  <w:style w:type="character" w:customStyle="1" w:styleId="UnresolvedMention1">
    <w:name w:val="Unresolved Mention1"/>
    <w:basedOn w:val="DefaultParagraphFont"/>
    <w:uiPriority w:val="99"/>
    <w:semiHidden/>
    <w:unhideWhenUsed/>
    <w:rsid w:val="0020599E"/>
    <w:rPr>
      <w:color w:val="605E5C"/>
      <w:shd w:val="clear" w:color="auto" w:fill="E1DFDD"/>
    </w:rPr>
  </w:style>
  <w:style w:type="paragraph" w:styleId="ListParagraph">
    <w:name w:val="List Paragraph"/>
    <w:basedOn w:val="Normal"/>
    <w:uiPriority w:val="99"/>
    <w:qFormat/>
    <w:rsid w:val="00201225"/>
    <w:pPr>
      <w:ind w:left="720"/>
      <w:contextualSpacing/>
    </w:pPr>
  </w:style>
  <w:style w:type="character" w:styleId="PlaceholderText">
    <w:name w:val="Placeholder Text"/>
    <w:basedOn w:val="DefaultParagraphFont"/>
    <w:uiPriority w:val="99"/>
    <w:semiHidden/>
    <w:rsid w:val="00291457"/>
    <w:rPr>
      <w:color w:val="808080"/>
    </w:rPr>
  </w:style>
  <w:style w:type="paragraph" w:styleId="Title">
    <w:name w:val="Title"/>
    <w:basedOn w:val="Normal"/>
    <w:next w:val="Normal"/>
    <w:link w:val="TitleChar"/>
    <w:uiPriority w:val="10"/>
    <w:qFormat/>
    <w:rsid w:val="00465470"/>
    <w:pPr>
      <w:jc w:val="center"/>
    </w:pPr>
    <w:rPr>
      <w:b/>
      <w:bCs/>
      <w:color w:val="C45911" w:themeColor="accent2" w:themeShade="BF"/>
      <w:sz w:val="28"/>
      <w:szCs w:val="28"/>
    </w:rPr>
  </w:style>
  <w:style w:type="character" w:customStyle="1" w:styleId="TitleChar">
    <w:name w:val="Title Char"/>
    <w:basedOn w:val="DefaultParagraphFont"/>
    <w:link w:val="Title"/>
    <w:uiPriority w:val="10"/>
    <w:rsid w:val="00465470"/>
    <w:rPr>
      <w:b/>
      <w:bCs/>
      <w:color w:val="C45911" w:themeColor="accent2" w:themeShade="BF"/>
      <w:sz w:val="28"/>
      <w:szCs w:val="28"/>
    </w:rPr>
  </w:style>
  <w:style w:type="character" w:styleId="LineNumber">
    <w:name w:val="line number"/>
    <w:basedOn w:val="DefaultParagraphFont"/>
    <w:uiPriority w:val="99"/>
    <w:semiHidden/>
    <w:unhideWhenUsed/>
    <w:rsid w:val="004B2992"/>
  </w:style>
  <w:style w:type="table" w:styleId="TableGrid">
    <w:name w:val="Table Grid"/>
    <w:basedOn w:val="TableNormal"/>
    <w:qFormat/>
    <w:rsid w:val="00DA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36D0"/>
    <w:rPr>
      <w:rFonts w:ascii="Tahoma" w:hAnsi="Tahoma" w:cs="Tahoma"/>
      <w:sz w:val="16"/>
      <w:szCs w:val="16"/>
    </w:rPr>
  </w:style>
  <w:style w:type="character" w:customStyle="1" w:styleId="BalloonTextChar">
    <w:name w:val="Balloon Text Char"/>
    <w:basedOn w:val="DefaultParagraphFont"/>
    <w:link w:val="BalloonText"/>
    <w:uiPriority w:val="99"/>
    <w:semiHidden/>
    <w:rsid w:val="00F036D0"/>
    <w:rPr>
      <w:rFonts w:ascii="Tahoma" w:hAnsi="Tahoma" w:cs="Tahoma"/>
      <w:sz w:val="16"/>
      <w:szCs w:val="16"/>
    </w:rPr>
  </w:style>
  <w:style w:type="paragraph" w:styleId="Header">
    <w:name w:val="header"/>
    <w:basedOn w:val="Normal"/>
    <w:link w:val="HeaderChar"/>
    <w:uiPriority w:val="99"/>
    <w:unhideWhenUsed/>
    <w:rsid w:val="000B0A0A"/>
    <w:pPr>
      <w:tabs>
        <w:tab w:val="center" w:pos="4680"/>
        <w:tab w:val="right" w:pos="9360"/>
      </w:tabs>
    </w:pPr>
  </w:style>
  <w:style w:type="character" w:customStyle="1" w:styleId="HeaderChar">
    <w:name w:val="Header Char"/>
    <w:basedOn w:val="DefaultParagraphFont"/>
    <w:link w:val="Header"/>
    <w:uiPriority w:val="99"/>
    <w:rsid w:val="000B0A0A"/>
  </w:style>
  <w:style w:type="paragraph" w:styleId="Footer">
    <w:name w:val="footer"/>
    <w:basedOn w:val="Normal"/>
    <w:link w:val="FooterChar"/>
    <w:uiPriority w:val="99"/>
    <w:unhideWhenUsed/>
    <w:rsid w:val="000B0A0A"/>
    <w:pPr>
      <w:tabs>
        <w:tab w:val="center" w:pos="4680"/>
        <w:tab w:val="right" w:pos="9360"/>
      </w:tabs>
    </w:pPr>
  </w:style>
  <w:style w:type="character" w:customStyle="1" w:styleId="FooterChar">
    <w:name w:val="Footer Char"/>
    <w:basedOn w:val="DefaultParagraphFont"/>
    <w:link w:val="Footer"/>
    <w:uiPriority w:val="99"/>
    <w:rsid w:val="000B0A0A"/>
  </w:style>
  <w:style w:type="paragraph" w:styleId="FootnoteText">
    <w:name w:val="footnote text"/>
    <w:basedOn w:val="Normal"/>
    <w:link w:val="FootnoteTextChar"/>
    <w:uiPriority w:val="99"/>
    <w:semiHidden/>
    <w:unhideWhenUsed/>
    <w:rsid w:val="000B0A0A"/>
    <w:rPr>
      <w:szCs w:val="20"/>
    </w:rPr>
  </w:style>
  <w:style w:type="character" w:customStyle="1" w:styleId="FootnoteTextChar">
    <w:name w:val="Footnote Text Char"/>
    <w:basedOn w:val="DefaultParagraphFont"/>
    <w:link w:val="FootnoteText"/>
    <w:uiPriority w:val="99"/>
    <w:semiHidden/>
    <w:rsid w:val="000B0A0A"/>
    <w:rPr>
      <w:szCs w:val="20"/>
    </w:rPr>
  </w:style>
  <w:style w:type="character" w:styleId="FootnoteReference">
    <w:name w:val="footnote reference"/>
    <w:basedOn w:val="DefaultParagraphFont"/>
    <w:uiPriority w:val="99"/>
    <w:semiHidden/>
    <w:unhideWhenUsed/>
    <w:rsid w:val="000B0A0A"/>
    <w:rPr>
      <w:vertAlign w:val="superscript"/>
    </w:rPr>
  </w:style>
  <w:style w:type="paragraph" w:styleId="Revision">
    <w:name w:val="Revision"/>
    <w:hidden/>
    <w:uiPriority w:val="99"/>
    <w:semiHidden/>
    <w:rsid w:val="00C47BD1"/>
  </w:style>
  <w:style w:type="paragraph" w:styleId="NoSpacing">
    <w:name w:val="No Spacing"/>
    <w:uiPriority w:val="1"/>
    <w:qFormat/>
    <w:rsid w:val="00D97475"/>
    <w:pPr>
      <w:jc w:val="both"/>
    </w:pPr>
  </w:style>
  <w:style w:type="character" w:styleId="UnresolvedMention">
    <w:name w:val="Unresolved Mention"/>
    <w:basedOn w:val="DefaultParagraphFont"/>
    <w:uiPriority w:val="99"/>
    <w:semiHidden/>
    <w:unhideWhenUsed/>
    <w:rsid w:val="00CE2102"/>
    <w:rPr>
      <w:color w:val="605E5C"/>
      <w:shd w:val="clear" w:color="auto" w:fill="E1DFDD"/>
    </w:rPr>
  </w:style>
  <w:style w:type="table" w:customStyle="1" w:styleId="TableGrid1">
    <w:name w:val="Table Grid1"/>
    <w:basedOn w:val="TableNormal"/>
    <w:next w:val="TableGrid"/>
    <w:uiPriority w:val="39"/>
    <w:rsid w:val="00CD2A23"/>
    <w:rPr>
      <w:rFonts w:asciiTheme="minorHAnsi" w:hAnsiTheme="minorHAnsi"/>
      <w:kern w:val="2"/>
      <w:sz w:val="24"/>
      <w:szCs w:val="24"/>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54B3"/>
    <w:pPr>
      <w:spacing w:before="100" w:beforeAutospacing="1" w:after="100" w:afterAutospacing="1"/>
      <w:jc w:val="left"/>
    </w:pPr>
    <w:rPr>
      <w:rFonts w:ascii="Times New Roman" w:eastAsia="Times New Roman" w:hAnsi="Times New Roman" w:cs="Times New Roman"/>
      <w:sz w:val="24"/>
      <w:szCs w:val="24"/>
      <w:lang w:val="en-AU"/>
    </w:rPr>
  </w:style>
  <w:style w:type="paragraph" w:customStyle="1" w:styleId="MDPI38bullet">
    <w:name w:val="MDPI_3.8_bullet"/>
    <w:qFormat/>
    <w:rsid w:val="00E63813"/>
    <w:pPr>
      <w:numPr>
        <w:numId w:val="13"/>
      </w:numPr>
      <w:adjustRightInd w:val="0"/>
      <w:snapToGrid w:val="0"/>
      <w:spacing w:line="228" w:lineRule="auto"/>
      <w:jc w:val="both"/>
    </w:pPr>
    <w:rPr>
      <w:rFonts w:ascii="Palatino Linotype" w:eastAsia="Times New Roman" w:hAnsi="Palatino Linotype" w:cs="Times New Roman"/>
      <w:color w:val="000000"/>
      <w:lang w:eastAsia="de-DE" w:bidi="en-US"/>
    </w:rPr>
  </w:style>
  <w:style w:type="paragraph" w:customStyle="1" w:styleId="MDPI21heading1">
    <w:name w:val="MDPI_2.1_heading1"/>
    <w:qFormat/>
    <w:rsid w:val="0093370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lang w:eastAsia="de-DE" w:bidi="en-US"/>
    </w:rPr>
  </w:style>
  <w:style w:type="paragraph" w:styleId="TableofAuthorities">
    <w:name w:val="table of authorities"/>
    <w:basedOn w:val="Normal"/>
    <w:next w:val="Normal"/>
    <w:autoRedefine/>
    <w:uiPriority w:val="99"/>
    <w:unhideWhenUsed/>
    <w:qFormat/>
    <w:rsid w:val="00254226"/>
    <w:pPr>
      <w:widowControl w:val="0"/>
      <w:ind w:right="-64"/>
      <w:jc w:val="center"/>
    </w:pPr>
    <w:rPr>
      <w:rFonts w:eastAsia="SimSun" w:cs="FangSong"/>
      <w:kern w:val="2"/>
      <w:szCs w:val="20"/>
    </w:rPr>
  </w:style>
  <w:style w:type="table" w:styleId="PlainTable4">
    <w:name w:val="Plain Table 4"/>
    <w:basedOn w:val="TableNormal"/>
    <w:uiPriority w:val="44"/>
    <w:rsid w:val="00E54A5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43030A"/>
    <w:rPr>
      <w:rFonts w:asciiTheme="minorHAnsi" w:eastAsiaTheme="minorHAns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303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TableNormal"/>
    <w:next w:val="TableGrid"/>
    <w:uiPriority w:val="39"/>
    <w:rsid w:val="0043030A"/>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215CC8"/>
  </w:style>
  <w:style w:type="table" w:customStyle="1" w:styleId="LightShading-Accent11">
    <w:name w:val="Light Shading - Accent 11"/>
    <w:basedOn w:val="TableNormal"/>
    <w:next w:val="LightShading-Accent1"/>
    <w:uiPriority w:val="60"/>
    <w:rsid w:val="00943B45"/>
    <w:rPr>
      <w:rFonts w:ascii="Arial" w:eastAsia="Arial" w:hAnsi="Arial" w:cs="Arial"/>
      <w:color w:val="365F91"/>
      <w:sz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unhideWhenUsed/>
    <w:rsid w:val="00943B45"/>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2">
    <w:name w:val="Light Shading - Accent 12"/>
    <w:basedOn w:val="TableNormal"/>
    <w:next w:val="LightShading-Accent1"/>
    <w:uiPriority w:val="60"/>
    <w:rsid w:val="0011630A"/>
    <w:rPr>
      <w:rFonts w:ascii="Arial" w:eastAsia="Arial" w:hAnsi="Arial" w:cs="Arial"/>
      <w:color w:val="365F91"/>
      <w:sz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1">
    <w:name w:val="Normal1"/>
    <w:rsid w:val="0011630A"/>
    <w:pPr>
      <w:spacing w:line="276" w:lineRule="auto"/>
    </w:pPr>
    <w:rPr>
      <w:rFonts w:ascii="Arial" w:eastAsia="Arial" w:hAnsi="Arial" w:cs="Arial"/>
      <w:sz w:val="22"/>
      <w:lang w:eastAsia="en-US"/>
    </w:rPr>
  </w:style>
  <w:style w:type="table" w:customStyle="1" w:styleId="LightShading-Accent13">
    <w:name w:val="Light Shading - Accent 13"/>
    <w:basedOn w:val="TableNormal"/>
    <w:next w:val="LightShading-Accent1"/>
    <w:uiPriority w:val="60"/>
    <w:rsid w:val="004F1F25"/>
    <w:rPr>
      <w:rFonts w:ascii="Arial" w:eastAsia="Arial" w:hAnsi="Arial" w:cs="Arial"/>
      <w:color w:val="365F91"/>
      <w:sz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next w:val="LightShading-Accent1"/>
    <w:uiPriority w:val="60"/>
    <w:rsid w:val="004F1F25"/>
    <w:rPr>
      <w:rFonts w:ascii="Arial" w:eastAsia="Arial" w:hAnsi="Arial" w:cs="Arial"/>
      <w:color w:val="365F91"/>
      <w:sz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Strong">
    <w:name w:val="Strong"/>
    <w:basedOn w:val="DefaultParagraphFont"/>
    <w:qFormat/>
    <w:rsid w:val="00BF57C7"/>
    <w:rPr>
      <w:b/>
      <w:bCs/>
    </w:rPr>
  </w:style>
  <w:style w:type="table" w:customStyle="1" w:styleId="TableGrid4">
    <w:name w:val="Table Grid4"/>
    <w:basedOn w:val="TableNormal"/>
    <w:next w:val="TableGrid"/>
    <w:rsid w:val="00740994"/>
    <w:pPr>
      <w:widowControl w:val="0"/>
      <w:jc w:val="both"/>
    </w:pPr>
    <w:rPr>
      <w:rFonts w:ascii="Times New Roman" w:eastAsia="SimSu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A72E6"/>
    <w:pPr>
      <w:widowControl w:val="0"/>
      <w:jc w:val="both"/>
    </w:pPr>
    <w:rPr>
      <w:rFonts w:ascii="Times New Roman" w:eastAsia="SimSu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next w:val="PlainTable1"/>
    <w:uiPriority w:val="41"/>
    <w:rsid w:val="00AA520A"/>
    <w:rPr>
      <w:rFonts w:asciiTheme="minorHAnsi" w:eastAsiaTheme="minorHAnsi" w:hAnsiTheme="minorHAnsi"/>
      <w:kern w:val="2"/>
      <w:sz w:val="24"/>
      <w:szCs w:val="24"/>
      <w:lang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AA52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974">
      <w:bodyDiv w:val="1"/>
      <w:marLeft w:val="0"/>
      <w:marRight w:val="0"/>
      <w:marTop w:val="0"/>
      <w:marBottom w:val="0"/>
      <w:divBdr>
        <w:top w:val="none" w:sz="0" w:space="0" w:color="auto"/>
        <w:left w:val="none" w:sz="0" w:space="0" w:color="auto"/>
        <w:bottom w:val="none" w:sz="0" w:space="0" w:color="auto"/>
        <w:right w:val="none" w:sz="0" w:space="0" w:color="auto"/>
      </w:divBdr>
    </w:div>
    <w:div w:id="22873948">
      <w:bodyDiv w:val="1"/>
      <w:marLeft w:val="0"/>
      <w:marRight w:val="0"/>
      <w:marTop w:val="0"/>
      <w:marBottom w:val="0"/>
      <w:divBdr>
        <w:top w:val="none" w:sz="0" w:space="0" w:color="auto"/>
        <w:left w:val="none" w:sz="0" w:space="0" w:color="auto"/>
        <w:bottom w:val="none" w:sz="0" w:space="0" w:color="auto"/>
        <w:right w:val="none" w:sz="0" w:space="0" w:color="auto"/>
      </w:divBdr>
    </w:div>
    <w:div w:id="41027663">
      <w:bodyDiv w:val="1"/>
      <w:marLeft w:val="0"/>
      <w:marRight w:val="0"/>
      <w:marTop w:val="0"/>
      <w:marBottom w:val="0"/>
      <w:divBdr>
        <w:top w:val="none" w:sz="0" w:space="0" w:color="auto"/>
        <w:left w:val="none" w:sz="0" w:space="0" w:color="auto"/>
        <w:bottom w:val="none" w:sz="0" w:space="0" w:color="auto"/>
        <w:right w:val="none" w:sz="0" w:space="0" w:color="auto"/>
      </w:divBdr>
    </w:div>
    <w:div w:id="181750974">
      <w:bodyDiv w:val="1"/>
      <w:marLeft w:val="0"/>
      <w:marRight w:val="0"/>
      <w:marTop w:val="0"/>
      <w:marBottom w:val="0"/>
      <w:divBdr>
        <w:top w:val="none" w:sz="0" w:space="0" w:color="auto"/>
        <w:left w:val="none" w:sz="0" w:space="0" w:color="auto"/>
        <w:bottom w:val="none" w:sz="0" w:space="0" w:color="auto"/>
        <w:right w:val="none" w:sz="0" w:space="0" w:color="auto"/>
      </w:divBdr>
    </w:div>
    <w:div w:id="210195056">
      <w:bodyDiv w:val="1"/>
      <w:marLeft w:val="0"/>
      <w:marRight w:val="0"/>
      <w:marTop w:val="0"/>
      <w:marBottom w:val="0"/>
      <w:divBdr>
        <w:top w:val="none" w:sz="0" w:space="0" w:color="auto"/>
        <w:left w:val="none" w:sz="0" w:space="0" w:color="auto"/>
        <w:bottom w:val="none" w:sz="0" w:space="0" w:color="auto"/>
        <w:right w:val="none" w:sz="0" w:space="0" w:color="auto"/>
      </w:divBdr>
    </w:div>
    <w:div w:id="304311106">
      <w:bodyDiv w:val="1"/>
      <w:marLeft w:val="0"/>
      <w:marRight w:val="0"/>
      <w:marTop w:val="0"/>
      <w:marBottom w:val="0"/>
      <w:divBdr>
        <w:top w:val="none" w:sz="0" w:space="0" w:color="auto"/>
        <w:left w:val="none" w:sz="0" w:space="0" w:color="auto"/>
        <w:bottom w:val="none" w:sz="0" w:space="0" w:color="auto"/>
        <w:right w:val="none" w:sz="0" w:space="0" w:color="auto"/>
      </w:divBdr>
    </w:div>
    <w:div w:id="362244593">
      <w:bodyDiv w:val="1"/>
      <w:marLeft w:val="0"/>
      <w:marRight w:val="0"/>
      <w:marTop w:val="0"/>
      <w:marBottom w:val="0"/>
      <w:divBdr>
        <w:top w:val="none" w:sz="0" w:space="0" w:color="auto"/>
        <w:left w:val="none" w:sz="0" w:space="0" w:color="auto"/>
        <w:bottom w:val="none" w:sz="0" w:space="0" w:color="auto"/>
        <w:right w:val="none" w:sz="0" w:space="0" w:color="auto"/>
      </w:divBdr>
    </w:div>
    <w:div w:id="380790272">
      <w:bodyDiv w:val="1"/>
      <w:marLeft w:val="0"/>
      <w:marRight w:val="0"/>
      <w:marTop w:val="0"/>
      <w:marBottom w:val="0"/>
      <w:divBdr>
        <w:top w:val="none" w:sz="0" w:space="0" w:color="auto"/>
        <w:left w:val="none" w:sz="0" w:space="0" w:color="auto"/>
        <w:bottom w:val="none" w:sz="0" w:space="0" w:color="auto"/>
        <w:right w:val="none" w:sz="0" w:space="0" w:color="auto"/>
      </w:divBdr>
    </w:div>
    <w:div w:id="382561026">
      <w:bodyDiv w:val="1"/>
      <w:marLeft w:val="0"/>
      <w:marRight w:val="0"/>
      <w:marTop w:val="0"/>
      <w:marBottom w:val="0"/>
      <w:divBdr>
        <w:top w:val="none" w:sz="0" w:space="0" w:color="auto"/>
        <w:left w:val="none" w:sz="0" w:space="0" w:color="auto"/>
        <w:bottom w:val="none" w:sz="0" w:space="0" w:color="auto"/>
        <w:right w:val="none" w:sz="0" w:space="0" w:color="auto"/>
      </w:divBdr>
    </w:div>
    <w:div w:id="391774786">
      <w:bodyDiv w:val="1"/>
      <w:marLeft w:val="0"/>
      <w:marRight w:val="0"/>
      <w:marTop w:val="0"/>
      <w:marBottom w:val="0"/>
      <w:divBdr>
        <w:top w:val="none" w:sz="0" w:space="0" w:color="auto"/>
        <w:left w:val="none" w:sz="0" w:space="0" w:color="auto"/>
        <w:bottom w:val="none" w:sz="0" w:space="0" w:color="auto"/>
        <w:right w:val="none" w:sz="0" w:space="0" w:color="auto"/>
      </w:divBdr>
    </w:div>
    <w:div w:id="394671585">
      <w:bodyDiv w:val="1"/>
      <w:marLeft w:val="0"/>
      <w:marRight w:val="0"/>
      <w:marTop w:val="0"/>
      <w:marBottom w:val="0"/>
      <w:divBdr>
        <w:top w:val="none" w:sz="0" w:space="0" w:color="auto"/>
        <w:left w:val="none" w:sz="0" w:space="0" w:color="auto"/>
        <w:bottom w:val="none" w:sz="0" w:space="0" w:color="auto"/>
        <w:right w:val="none" w:sz="0" w:space="0" w:color="auto"/>
      </w:divBdr>
    </w:div>
    <w:div w:id="429131502">
      <w:bodyDiv w:val="1"/>
      <w:marLeft w:val="0"/>
      <w:marRight w:val="0"/>
      <w:marTop w:val="0"/>
      <w:marBottom w:val="0"/>
      <w:divBdr>
        <w:top w:val="none" w:sz="0" w:space="0" w:color="auto"/>
        <w:left w:val="none" w:sz="0" w:space="0" w:color="auto"/>
        <w:bottom w:val="none" w:sz="0" w:space="0" w:color="auto"/>
        <w:right w:val="none" w:sz="0" w:space="0" w:color="auto"/>
      </w:divBdr>
    </w:div>
    <w:div w:id="469903855">
      <w:bodyDiv w:val="1"/>
      <w:marLeft w:val="0"/>
      <w:marRight w:val="0"/>
      <w:marTop w:val="0"/>
      <w:marBottom w:val="0"/>
      <w:divBdr>
        <w:top w:val="none" w:sz="0" w:space="0" w:color="auto"/>
        <w:left w:val="none" w:sz="0" w:space="0" w:color="auto"/>
        <w:bottom w:val="none" w:sz="0" w:space="0" w:color="auto"/>
        <w:right w:val="none" w:sz="0" w:space="0" w:color="auto"/>
      </w:divBdr>
    </w:div>
    <w:div w:id="489104070">
      <w:bodyDiv w:val="1"/>
      <w:marLeft w:val="0"/>
      <w:marRight w:val="0"/>
      <w:marTop w:val="0"/>
      <w:marBottom w:val="0"/>
      <w:divBdr>
        <w:top w:val="none" w:sz="0" w:space="0" w:color="auto"/>
        <w:left w:val="none" w:sz="0" w:space="0" w:color="auto"/>
        <w:bottom w:val="none" w:sz="0" w:space="0" w:color="auto"/>
        <w:right w:val="none" w:sz="0" w:space="0" w:color="auto"/>
      </w:divBdr>
    </w:div>
    <w:div w:id="500894106">
      <w:bodyDiv w:val="1"/>
      <w:marLeft w:val="0"/>
      <w:marRight w:val="0"/>
      <w:marTop w:val="0"/>
      <w:marBottom w:val="0"/>
      <w:divBdr>
        <w:top w:val="none" w:sz="0" w:space="0" w:color="auto"/>
        <w:left w:val="none" w:sz="0" w:space="0" w:color="auto"/>
        <w:bottom w:val="none" w:sz="0" w:space="0" w:color="auto"/>
        <w:right w:val="none" w:sz="0" w:space="0" w:color="auto"/>
      </w:divBdr>
    </w:div>
    <w:div w:id="539628201">
      <w:bodyDiv w:val="1"/>
      <w:marLeft w:val="0"/>
      <w:marRight w:val="0"/>
      <w:marTop w:val="0"/>
      <w:marBottom w:val="0"/>
      <w:divBdr>
        <w:top w:val="none" w:sz="0" w:space="0" w:color="auto"/>
        <w:left w:val="none" w:sz="0" w:space="0" w:color="auto"/>
        <w:bottom w:val="none" w:sz="0" w:space="0" w:color="auto"/>
        <w:right w:val="none" w:sz="0" w:space="0" w:color="auto"/>
      </w:divBdr>
    </w:div>
    <w:div w:id="547693570">
      <w:bodyDiv w:val="1"/>
      <w:marLeft w:val="0"/>
      <w:marRight w:val="0"/>
      <w:marTop w:val="0"/>
      <w:marBottom w:val="0"/>
      <w:divBdr>
        <w:top w:val="none" w:sz="0" w:space="0" w:color="auto"/>
        <w:left w:val="none" w:sz="0" w:space="0" w:color="auto"/>
        <w:bottom w:val="none" w:sz="0" w:space="0" w:color="auto"/>
        <w:right w:val="none" w:sz="0" w:space="0" w:color="auto"/>
      </w:divBdr>
    </w:div>
    <w:div w:id="626394753">
      <w:bodyDiv w:val="1"/>
      <w:marLeft w:val="0"/>
      <w:marRight w:val="0"/>
      <w:marTop w:val="0"/>
      <w:marBottom w:val="0"/>
      <w:divBdr>
        <w:top w:val="none" w:sz="0" w:space="0" w:color="auto"/>
        <w:left w:val="none" w:sz="0" w:space="0" w:color="auto"/>
        <w:bottom w:val="none" w:sz="0" w:space="0" w:color="auto"/>
        <w:right w:val="none" w:sz="0" w:space="0" w:color="auto"/>
      </w:divBdr>
    </w:div>
    <w:div w:id="645276601">
      <w:bodyDiv w:val="1"/>
      <w:marLeft w:val="0"/>
      <w:marRight w:val="0"/>
      <w:marTop w:val="0"/>
      <w:marBottom w:val="0"/>
      <w:divBdr>
        <w:top w:val="none" w:sz="0" w:space="0" w:color="auto"/>
        <w:left w:val="none" w:sz="0" w:space="0" w:color="auto"/>
        <w:bottom w:val="none" w:sz="0" w:space="0" w:color="auto"/>
        <w:right w:val="none" w:sz="0" w:space="0" w:color="auto"/>
      </w:divBdr>
    </w:div>
    <w:div w:id="714429747">
      <w:bodyDiv w:val="1"/>
      <w:marLeft w:val="0"/>
      <w:marRight w:val="0"/>
      <w:marTop w:val="0"/>
      <w:marBottom w:val="0"/>
      <w:divBdr>
        <w:top w:val="none" w:sz="0" w:space="0" w:color="auto"/>
        <w:left w:val="none" w:sz="0" w:space="0" w:color="auto"/>
        <w:bottom w:val="none" w:sz="0" w:space="0" w:color="auto"/>
        <w:right w:val="none" w:sz="0" w:space="0" w:color="auto"/>
      </w:divBdr>
    </w:div>
    <w:div w:id="760679869">
      <w:bodyDiv w:val="1"/>
      <w:marLeft w:val="0"/>
      <w:marRight w:val="0"/>
      <w:marTop w:val="0"/>
      <w:marBottom w:val="0"/>
      <w:divBdr>
        <w:top w:val="none" w:sz="0" w:space="0" w:color="auto"/>
        <w:left w:val="none" w:sz="0" w:space="0" w:color="auto"/>
        <w:bottom w:val="none" w:sz="0" w:space="0" w:color="auto"/>
        <w:right w:val="none" w:sz="0" w:space="0" w:color="auto"/>
      </w:divBdr>
    </w:div>
    <w:div w:id="790441239">
      <w:bodyDiv w:val="1"/>
      <w:marLeft w:val="0"/>
      <w:marRight w:val="0"/>
      <w:marTop w:val="0"/>
      <w:marBottom w:val="0"/>
      <w:divBdr>
        <w:top w:val="none" w:sz="0" w:space="0" w:color="auto"/>
        <w:left w:val="none" w:sz="0" w:space="0" w:color="auto"/>
        <w:bottom w:val="none" w:sz="0" w:space="0" w:color="auto"/>
        <w:right w:val="none" w:sz="0" w:space="0" w:color="auto"/>
      </w:divBdr>
    </w:div>
    <w:div w:id="825391831">
      <w:bodyDiv w:val="1"/>
      <w:marLeft w:val="0"/>
      <w:marRight w:val="0"/>
      <w:marTop w:val="0"/>
      <w:marBottom w:val="0"/>
      <w:divBdr>
        <w:top w:val="none" w:sz="0" w:space="0" w:color="auto"/>
        <w:left w:val="none" w:sz="0" w:space="0" w:color="auto"/>
        <w:bottom w:val="none" w:sz="0" w:space="0" w:color="auto"/>
        <w:right w:val="none" w:sz="0" w:space="0" w:color="auto"/>
      </w:divBdr>
    </w:div>
    <w:div w:id="870410888">
      <w:bodyDiv w:val="1"/>
      <w:marLeft w:val="0"/>
      <w:marRight w:val="0"/>
      <w:marTop w:val="0"/>
      <w:marBottom w:val="0"/>
      <w:divBdr>
        <w:top w:val="none" w:sz="0" w:space="0" w:color="auto"/>
        <w:left w:val="none" w:sz="0" w:space="0" w:color="auto"/>
        <w:bottom w:val="none" w:sz="0" w:space="0" w:color="auto"/>
        <w:right w:val="none" w:sz="0" w:space="0" w:color="auto"/>
      </w:divBdr>
    </w:div>
    <w:div w:id="1031419553">
      <w:bodyDiv w:val="1"/>
      <w:marLeft w:val="0"/>
      <w:marRight w:val="0"/>
      <w:marTop w:val="0"/>
      <w:marBottom w:val="0"/>
      <w:divBdr>
        <w:top w:val="none" w:sz="0" w:space="0" w:color="auto"/>
        <w:left w:val="none" w:sz="0" w:space="0" w:color="auto"/>
        <w:bottom w:val="none" w:sz="0" w:space="0" w:color="auto"/>
        <w:right w:val="none" w:sz="0" w:space="0" w:color="auto"/>
      </w:divBdr>
    </w:div>
    <w:div w:id="1033071166">
      <w:bodyDiv w:val="1"/>
      <w:marLeft w:val="0"/>
      <w:marRight w:val="0"/>
      <w:marTop w:val="0"/>
      <w:marBottom w:val="0"/>
      <w:divBdr>
        <w:top w:val="none" w:sz="0" w:space="0" w:color="auto"/>
        <w:left w:val="none" w:sz="0" w:space="0" w:color="auto"/>
        <w:bottom w:val="none" w:sz="0" w:space="0" w:color="auto"/>
        <w:right w:val="none" w:sz="0" w:space="0" w:color="auto"/>
      </w:divBdr>
    </w:div>
    <w:div w:id="1222864416">
      <w:bodyDiv w:val="1"/>
      <w:marLeft w:val="0"/>
      <w:marRight w:val="0"/>
      <w:marTop w:val="0"/>
      <w:marBottom w:val="0"/>
      <w:divBdr>
        <w:top w:val="none" w:sz="0" w:space="0" w:color="auto"/>
        <w:left w:val="none" w:sz="0" w:space="0" w:color="auto"/>
        <w:bottom w:val="none" w:sz="0" w:space="0" w:color="auto"/>
        <w:right w:val="none" w:sz="0" w:space="0" w:color="auto"/>
      </w:divBdr>
    </w:div>
    <w:div w:id="1324820663">
      <w:bodyDiv w:val="1"/>
      <w:marLeft w:val="0"/>
      <w:marRight w:val="0"/>
      <w:marTop w:val="0"/>
      <w:marBottom w:val="0"/>
      <w:divBdr>
        <w:top w:val="none" w:sz="0" w:space="0" w:color="auto"/>
        <w:left w:val="none" w:sz="0" w:space="0" w:color="auto"/>
        <w:bottom w:val="none" w:sz="0" w:space="0" w:color="auto"/>
        <w:right w:val="none" w:sz="0" w:space="0" w:color="auto"/>
      </w:divBdr>
    </w:div>
    <w:div w:id="1399673059">
      <w:bodyDiv w:val="1"/>
      <w:marLeft w:val="0"/>
      <w:marRight w:val="0"/>
      <w:marTop w:val="0"/>
      <w:marBottom w:val="0"/>
      <w:divBdr>
        <w:top w:val="none" w:sz="0" w:space="0" w:color="auto"/>
        <w:left w:val="none" w:sz="0" w:space="0" w:color="auto"/>
        <w:bottom w:val="none" w:sz="0" w:space="0" w:color="auto"/>
        <w:right w:val="none" w:sz="0" w:space="0" w:color="auto"/>
      </w:divBdr>
    </w:div>
    <w:div w:id="1406952202">
      <w:bodyDiv w:val="1"/>
      <w:marLeft w:val="0"/>
      <w:marRight w:val="0"/>
      <w:marTop w:val="0"/>
      <w:marBottom w:val="0"/>
      <w:divBdr>
        <w:top w:val="none" w:sz="0" w:space="0" w:color="auto"/>
        <w:left w:val="none" w:sz="0" w:space="0" w:color="auto"/>
        <w:bottom w:val="none" w:sz="0" w:space="0" w:color="auto"/>
        <w:right w:val="none" w:sz="0" w:space="0" w:color="auto"/>
      </w:divBdr>
    </w:div>
    <w:div w:id="1581408995">
      <w:bodyDiv w:val="1"/>
      <w:marLeft w:val="0"/>
      <w:marRight w:val="0"/>
      <w:marTop w:val="0"/>
      <w:marBottom w:val="0"/>
      <w:divBdr>
        <w:top w:val="none" w:sz="0" w:space="0" w:color="auto"/>
        <w:left w:val="none" w:sz="0" w:space="0" w:color="auto"/>
        <w:bottom w:val="none" w:sz="0" w:space="0" w:color="auto"/>
        <w:right w:val="none" w:sz="0" w:space="0" w:color="auto"/>
      </w:divBdr>
    </w:div>
    <w:div w:id="1648703539">
      <w:bodyDiv w:val="1"/>
      <w:marLeft w:val="0"/>
      <w:marRight w:val="0"/>
      <w:marTop w:val="0"/>
      <w:marBottom w:val="0"/>
      <w:divBdr>
        <w:top w:val="none" w:sz="0" w:space="0" w:color="auto"/>
        <w:left w:val="none" w:sz="0" w:space="0" w:color="auto"/>
        <w:bottom w:val="none" w:sz="0" w:space="0" w:color="auto"/>
        <w:right w:val="none" w:sz="0" w:space="0" w:color="auto"/>
      </w:divBdr>
    </w:div>
    <w:div w:id="1724524259">
      <w:bodyDiv w:val="1"/>
      <w:marLeft w:val="0"/>
      <w:marRight w:val="0"/>
      <w:marTop w:val="0"/>
      <w:marBottom w:val="0"/>
      <w:divBdr>
        <w:top w:val="none" w:sz="0" w:space="0" w:color="auto"/>
        <w:left w:val="none" w:sz="0" w:space="0" w:color="auto"/>
        <w:bottom w:val="none" w:sz="0" w:space="0" w:color="auto"/>
        <w:right w:val="none" w:sz="0" w:space="0" w:color="auto"/>
      </w:divBdr>
    </w:div>
    <w:div w:id="1787654399">
      <w:bodyDiv w:val="1"/>
      <w:marLeft w:val="0"/>
      <w:marRight w:val="0"/>
      <w:marTop w:val="0"/>
      <w:marBottom w:val="0"/>
      <w:divBdr>
        <w:top w:val="none" w:sz="0" w:space="0" w:color="auto"/>
        <w:left w:val="none" w:sz="0" w:space="0" w:color="auto"/>
        <w:bottom w:val="none" w:sz="0" w:space="0" w:color="auto"/>
        <w:right w:val="none" w:sz="0" w:space="0" w:color="auto"/>
      </w:divBdr>
    </w:div>
    <w:div w:id="1858041173">
      <w:bodyDiv w:val="1"/>
      <w:marLeft w:val="0"/>
      <w:marRight w:val="0"/>
      <w:marTop w:val="0"/>
      <w:marBottom w:val="0"/>
      <w:divBdr>
        <w:top w:val="none" w:sz="0" w:space="0" w:color="auto"/>
        <w:left w:val="none" w:sz="0" w:space="0" w:color="auto"/>
        <w:bottom w:val="none" w:sz="0" w:space="0" w:color="auto"/>
        <w:right w:val="none" w:sz="0" w:space="0" w:color="auto"/>
      </w:divBdr>
    </w:div>
    <w:div w:id="1884057626">
      <w:bodyDiv w:val="1"/>
      <w:marLeft w:val="0"/>
      <w:marRight w:val="0"/>
      <w:marTop w:val="0"/>
      <w:marBottom w:val="0"/>
      <w:divBdr>
        <w:top w:val="none" w:sz="0" w:space="0" w:color="auto"/>
        <w:left w:val="none" w:sz="0" w:space="0" w:color="auto"/>
        <w:bottom w:val="none" w:sz="0" w:space="0" w:color="auto"/>
        <w:right w:val="none" w:sz="0" w:space="0" w:color="auto"/>
      </w:divBdr>
    </w:div>
    <w:div w:id="1919704087">
      <w:bodyDiv w:val="1"/>
      <w:marLeft w:val="0"/>
      <w:marRight w:val="0"/>
      <w:marTop w:val="0"/>
      <w:marBottom w:val="0"/>
      <w:divBdr>
        <w:top w:val="none" w:sz="0" w:space="0" w:color="auto"/>
        <w:left w:val="none" w:sz="0" w:space="0" w:color="auto"/>
        <w:bottom w:val="none" w:sz="0" w:space="0" w:color="auto"/>
        <w:right w:val="none" w:sz="0" w:space="0" w:color="auto"/>
      </w:divBdr>
    </w:div>
    <w:div w:id="1924488672">
      <w:bodyDiv w:val="1"/>
      <w:marLeft w:val="0"/>
      <w:marRight w:val="0"/>
      <w:marTop w:val="0"/>
      <w:marBottom w:val="0"/>
      <w:divBdr>
        <w:top w:val="none" w:sz="0" w:space="0" w:color="auto"/>
        <w:left w:val="none" w:sz="0" w:space="0" w:color="auto"/>
        <w:bottom w:val="none" w:sz="0" w:space="0" w:color="auto"/>
        <w:right w:val="none" w:sz="0" w:space="0" w:color="auto"/>
      </w:divBdr>
    </w:div>
    <w:div w:id="1945964557">
      <w:bodyDiv w:val="1"/>
      <w:marLeft w:val="0"/>
      <w:marRight w:val="0"/>
      <w:marTop w:val="0"/>
      <w:marBottom w:val="0"/>
      <w:divBdr>
        <w:top w:val="none" w:sz="0" w:space="0" w:color="auto"/>
        <w:left w:val="none" w:sz="0" w:space="0" w:color="auto"/>
        <w:bottom w:val="none" w:sz="0" w:space="0" w:color="auto"/>
        <w:right w:val="none" w:sz="0" w:space="0" w:color="auto"/>
      </w:divBdr>
    </w:div>
    <w:div w:id="1954165521">
      <w:bodyDiv w:val="1"/>
      <w:marLeft w:val="0"/>
      <w:marRight w:val="0"/>
      <w:marTop w:val="0"/>
      <w:marBottom w:val="0"/>
      <w:divBdr>
        <w:top w:val="none" w:sz="0" w:space="0" w:color="auto"/>
        <w:left w:val="none" w:sz="0" w:space="0" w:color="auto"/>
        <w:bottom w:val="none" w:sz="0" w:space="0" w:color="auto"/>
        <w:right w:val="none" w:sz="0" w:space="0" w:color="auto"/>
      </w:divBdr>
    </w:div>
    <w:div w:id="1988197902">
      <w:bodyDiv w:val="1"/>
      <w:marLeft w:val="0"/>
      <w:marRight w:val="0"/>
      <w:marTop w:val="0"/>
      <w:marBottom w:val="0"/>
      <w:divBdr>
        <w:top w:val="none" w:sz="0" w:space="0" w:color="auto"/>
        <w:left w:val="none" w:sz="0" w:space="0" w:color="auto"/>
        <w:bottom w:val="none" w:sz="0" w:space="0" w:color="auto"/>
        <w:right w:val="none" w:sz="0" w:space="0" w:color="auto"/>
      </w:divBdr>
    </w:div>
    <w:div w:id="1991015201">
      <w:bodyDiv w:val="1"/>
      <w:marLeft w:val="0"/>
      <w:marRight w:val="0"/>
      <w:marTop w:val="0"/>
      <w:marBottom w:val="0"/>
      <w:divBdr>
        <w:top w:val="none" w:sz="0" w:space="0" w:color="auto"/>
        <w:left w:val="none" w:sz="0" w:space="0" w:color="auto"/>
        <w:bottom w:val="none" w:sz="0" w:space="0" w:color="auto"/>
        <w:right w:val="none" w:sz="0" w:space="0" w:color="auto"/>
      </w:divBdr>
    </w:div>
    <w:div w:id="1996565146">
      <w:bodyDiv w:val="1"/>
      <w:marLeft w:val="0"/>
      <w:marRight w:val="0"/>
      <w:marTop w:val="0"/>
      <w:marBottom w:val="0"/>
      <w:divBdr>
        <w:top w:val="none" w:sz="0" w:space="0" w:color="auto"/>
        <w:left w:val="none" w:sz="0" w:space="0" w:color="auto"/>
        <w:bottom w:val="none" w:sz="0" w:space="0" w:color="auto"/>
        <w:right w:val="none" w:sz="0" w:space="0" w:color="auto"/>
      </w:divBdr>
    </w:div>
    <w:div w:id="20790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anikhassanrabby@bup.edu.bd"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erp\Documents\Custom%20Office%20Templates\fsam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CFB7A-FB54-4AF3-928C-34FA1512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fsamr.dotx</Template>
  <TotalTime>75</TotalTime>
  <Pages>21</Pages>
  <Words>10417</Words>
  <Characters>59383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Risk Identification from the Perspective of South-South Cooperation—Evidence from China and Mongolia Agricultural Technology Cooperation</vt:lpstr>
    </vt:vector>
  </TitlesOfParts>
  <Company/>
  <LinksUpToDate>false</LinksUpToDate>
  <CharactersWithSpaces>69661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Identification from the Perspective of South-South Cooperation—Evidence from China and Mongolia Agricultural Technology Cooperation</dc:title>
  <dc:subject/>
  <dc:creator>Author a;Author b;Author c</dc:creator>
  <cp:keywords/>
  <dc:description/>
  <cp:lastModifiedBy>Sunny butt</cp:lastModifiedBy>
  <cp:revision>44</cp:revision>
  <cp:lastPrinted>2025-10-16T05:31:00Z</cp:lastPrinted>
  <dcterms:created xsi:type="dcterms:W3CDTF">2025-08-16T12:45:00Z</dcterms:created>
  <dcterms:modified xsi:type="dcterms:W3CDTF">2025-11-28T05:46:00Z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
    <vt:lpwstr>a Department, Institute, Country b Department, Institute, Country c Department, Institute, Country</vt:lpwstr>
  </property>
  <property fmtid="{D5CDD505-2E9C-101B-9397-08002B2CF9AE}" pid="3" name="Corresponding">
    <vt:lpwstr>Corresponding email: abc@xyz.edu.pk (Author Name)</vt:lpwstr>
  </property>
  <property fmtid="{D5CDD505-2E9C-101B-9397-08002B2CF9AE}" pid="4" name="Authors">
    <vt:lpwstr>Author a, Author b, Author c</vt:lpwstr>
  </property>
  <property fmtid="{D5CDD505-2E9C-101B-9397-08002B2CF9AE}" pid="5" name="GrammarlyDocumentId">
    <vt:lpwstr>538a678df894f3a75272e8f0eae23669eef97fb1d9aa368b90a9e30ff56570c1</vt:lpwstr>
  </property>
</Properties>
</file>